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44B5D">
      <w:pPr>
        <w:jc w:val="center"/>
        <w:rPr>
          <w:rFonts w:hint="eastAsia" w:ascii="宋体" w:hAnsi="宋体" w:cs="宋体"/>
          <w:b/>
          <w:kern w:val="0"/>
          <w:sz w:val="36"/>
          <w:szCs w:val="36"/>
          <w:lang w:val="en-US" w:eastAsia="zh-CN"/>
        </w:rPr>
      </w:pPr>
      <w:bookmarkStart w:id="8" w:name="_GoBack"/>
      <w:r>
        <w:rPr>
          <w:rFonts w:hint="eastAsia" w:ascii="宋体" w:hAnsi="宋体" w:cs="宋体"/>
          <w:b/>
          <w:kern w:val="0"/>
          <w:sz w:val="36"/>
          <w:szCs w:val="36"/>
          <w:lang w:val="en-US" w:eastAsia="zh-CN"/>
        </w:rPr>
        <w:t>专业课程目标达成度管理系统项目</w:t>
      </w:r>
    </w:p>
    <w:p w14:paraId="3096F0DD">
      <w:pPr>
        <w:jc w:val="center"/>
        <w:rPr>
          <w:rFonts w:hint="eastAsia" w:ascii="宋体" w:hAnsi="宋体" w:cs="宋体"/>
          <w:b/>
          <w:kern w:val="0"/>
          <w:sz w:val="36"/>
          <w:szCs w:val="36"/>
        </w:rPr>
      </w:pPr>
      <w:r>
        <w:rPr>
          <w:rFonts w:hint="eastAsia" w:ascii="宋体" w:hAnsi="宋体" w:cs="宋体"/>
          <w:b/>
          <w:kern w:val="0"/>
          <w:sz w:val="36"/>
          <w:szCs w:val="36"/>
          <w:lang w:val="en-US" w:eastAsia="zh-CN"/>
        </w:rPr>
        <w:t>比选</w:t>
      </w:r>
      <w:r>
        <w:rPr>
          <w:rFonts w:hint="eastAsia" w:ascii="宋体" w:hAnsi="宋体" w:cs="宋体"/>
          <w:b/>
          <w:kern w:val="0"/>
          <w:sz w:val="36"/>
          <w:szCs w:val="36"/>
        </w:rPr>
        <w:t>文件</w:t>
      </w:r>
    </w:p>
    <w:bookmarkEnd w:id="8"/>
    <w:p w14:paraId="76DC818A">
      <w:pPr>
        <w:pStyle w:val="14"/>
        <w:spacing w:before="156" w:beforeLines="50" w:beforeAutospacing="0" w:after="0" w:afterAutospacing="0" w:line="375" w:lineRule="atLeast"/>
        <w:jc w:val="center"/>
        <w:rPr>
          <w:rFonts w:hint="eastAsia"/>
          <w:b/>
          <w:sz w:val="32"/>
          <w:szCs w:val="32"/>
        </w:rPr>
      </w:pPr>
      <w:r>
        <w:rPr>
          <w:rFonts w:hint="eastAsia"/>
          <w:b/>
          <w:sz w:val="32"/>
          <w:szCs w:val="32"/>
        </w:rPr>
        <w:t>第</w:t>
      </w:r>
      <w:r>
        <w:rPr>
          <w:rFonts w:hint="eastAsia"/>
          <w:b/>
          <w:sz w:val="32"/>
          <w:szCs w:val="32"/>
          <w:lang w:val="en-US" w:eastAsia="zh-CN"/>
        </w:rPr>
        <w:t>一</w:t>
      </w:r>
      <w:r>
        <w:rPr>
          <w:rFonts w:hint="eastAsia"/>
          <w:b/>
          <w:sz w:val="32"/>
          <w:szCs w:val="32"/>
        </w:rPr>
        <w:t>部分 采购需求</w:t>
      </w:r>
    </w:p>
    <w:p w14:paraId="0D35181C">
      <w:pPr>
        <w:spacing w:line="440" w:lineRule="exact"/>
        <w:rPr>
          <w:rFonts w:hint="eastAsia" w:ascii="宋体" w:hAnsi="宋体"/>
          <w:b/>
          <w:sz w:val="24"/>
        </w:rPr>
      </w:pPr>
      <w:r>
        <w:rPr>
          <w:rFonts w:hint="eastAsia" w:ascii="宋体" w:hAnsi="宋体"/>
          <w:b/>
          <w:sz w:val="24"/>
        </w:rPr>
        <w:t>一、采购需求</w:t>
      </w:r>
    </w:p>
    <w:p w14:paraId="1AD5C74D">
      <w:pPr>
        <w:spacing w:line="440" w:lineRule="exact"/>
        <w:rPr>
          <w:rFonts w:hint="eastAsia" w:ascii="宋体" w:hAnsi="宋体"/>
          <w:b/>
          <w:sz w:val="24"/>
        </w:rPr>
      </w:pPr>
      <w:r>
        <w:rPr>
          <w:rFonts w:hint="eastAsia" w:ascii="宋体" w:hAnsi="宋体"/>
          <w:b/>
          <w:sz w:val="24"/>
        </w:rPr>
        <w:t>项目采购清单：</w:t>
      </w:r>
    </w:p>
    <w:p w14:paraId="5C113A3C">
      <w:pPr>
        <w:spacing w:line="420" w:lineRule="exact"/>
        <w:rPr>
          <w:rFonts w:hint="default" w:ascii="宋体" w:hAnsi="宋体" w:eastAsia="宋体" w:cs="宋体"/>
          <w:b/>
          <w:sz w:val="24"/>
          <w:lang w:val="en-US" w:eastAsia="zh-CN"/>
        </w:rPr>
      </w:pPr>
      <w:r>
        <w:rPr>
          <w:rFonts w:hint="eastAsia" w:ascii="宋体" w:hAnsi="宋体" w:cs="宋体"/>
          <w:b/>
          <w:sz w:val="24"/>
          <w:lang w:val="en-US" w:eastAsia="zh-CN"/>
        </w:rPr>
        <w:t xml:space="preserve"> 项目名称：专业课程目标达成度管理系统                 </w:t>
      </w:r>
    </w:p>
    <w:tbl>
      <w:tblPr>
        <w:tblStyle w:val="17"/>
        <w:tblpPr w:leftFromText="180" w:rightFromText="180" w:vertAnchor="text" w:horzAnchor="page" w:tblpX="1202" w:tblpY="171"/>
        <w:tblOverlap w:val="never"/>
        <w:tblW w:w="55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98"/>
        <w:gridCol w:w="1219"/>
        <w:gridCol w:w="1028"/>
        <w:gridCol w:w="1203"/>
        <w:gridCol w:w="674"/>
        <w:gridCol w:w="658"/>
        <w:gridCol w:w="786"/>
        <w:gridCol w:w="834"/>
        <w:gridCol w:w="802"/>
        <w:gridCol w:w="915"/>
      </w:tblGrid>
      <w:tr w14:paraId="0E12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exact"/>
        </w:trPr>
        <w:tc>
          <w:tcPr>
            <w:tcW w:w="329" w:type="pct"/>
            <w:noWrap w:val="0"/>
            <w:vAlign w:val="center"/>
          </w:tcPr>
          <w:p w14:paraId="2F9B0A20">
            <w:pPr>
              <w:spacing w:line="420" w:lineRule="exact"/>
              <w:jc w:val="center"/>
              <w:rPr>
                <w:rFonts w:ascii="宋体" w:hAnsi="宋体" w:cs="宋体"/>
                <w:b/>
                <w:sz w:val="24"/>
              </w:rPr>
            </w:pPr>
            <w:r>
              <w:rPr>
                <w:rFonts w:hint="eastAsia" w:ascii="宋体" w:hAnsi="宋体" w:cs="宋体"/>
                <w:b/>
                <w:sz w:val="24"/>
              </w:rPr>
              <w:t>序号</w:t>
            </w:r>
          </w:p>
        </w:tc>
        <w:tc>
          <w:tcPr>
            <w:tcW w:w="686" w:type="pct"/>
            <w:noWrap w:val="0"/>
            <w:vAlign w:val="center"/>
          </w:tcPr>
          <w:p w14:paraId="4189C29F">
            <w:pPr>
              <w:spacing w:line="420" w:lineRule="exact"/>
              <w:jc w:val="center"/>
              <w:rPr>
                <w:rFonts w:hint="eastAsia" w:ascii="宋体" w:hAnsi="宋体" w:cs="宋体"/>
                <w:b/>
                <w:sz w:val="24"/>
                <w:lang w:eastAsia="zh-CN"/>
              </w:rPr>
            </w:pPr>
            <w:r>
              <w:rPr>
                <w:rFonts w:hint="eastAsia" w:ascii="宋体" w:hAnsi="宋体" w:cs="宋体"/>
                <w:b/>
                <w:sz w:val="24"/>
              </w:rPr>
              <w:t>采购</w:t>
            </w:r>
            <w:r>
              <w:rPr>
                <w:rFonts w:hint="eastAsia" w:ascii="宋体" w:hAnsi="宋体" w:cs="宋体"/>
                <w:b/>
                <w:sz w:val="24"/>
                <w:lang w:eastAsia="zh-CN"/>
              </w:rPr>
              <w:t>标的</w:t>
            </w:r>
          </w:p>
          <w:p w14:paraId="36D0DCBE">
            <w:pPr>
              <w:spacing w:line="420" w:lineRule="exact"/>
              <w:jc w:val="center"/>
              <w:rPr>
                <w:rFonts w:hint="eastAsia" w:ascii="宋体" w:hAnsi="宋体" w:eastAsia="宋体" w:cs="宋体"/>
                <w:b/>
                <w:sz w:val="24"/>
                <w:lang w:eastAsia="zh-CN"/>
              </w:rPr>
            </w:pPr>
            <w:r>
              <w:rPr>
                <w:rFonts w:hint="eastAsia" w:ascii="宋体" w:hAnsi="宋体" w:cs="宋体"/>
                <w:b/>
                <w:sz w:val="24"/>
                <w:lang w:val="en-US" w:eastAsia="zh-CN"/>
              </w:rPr>
              <w:t>品目</w:t>
            </w:r>
            <w:r>
              <w:rPr>
                <w:rFonts w:hint="eastAsia" w:ascii="宋体" w:hAnsi="宋体" w:cs="宋体"/>
                <w:b/>
                <w:sz w:val="24"/>
              </w:rPr>
              <w:t>名称</w:t>
            </w:r>
          </w:p>
        </w:tc>
        <w:tc>
          <w:tcPr>
            <w:tcW w:w="598" w:type="pct"/>
            <w:noWrap w:val="0"/>
            <w:vAlign w:val="center"/>
          </w:tcPr>
          <w:p w14:paraId="3F6FF087">
            <w:pPr>
              <w:spacing w:line="420" w:lineRule="exact"/>
              <w:jc w:val="center"/>
              <w:rPr>
                <w:rFonts w:hint="default" w:ascii="宋体" w:hAnsi="宋体" w:cs="宋体"/>
                <w:b/>
                <w:sz w:val="24"/>
                <w:lang w:val="en-US"/>
              </w:rPr>
            </w:pPr>
            <w:r>
              <w:rPr>
                <w:rFonts w:hint="eastAsia" w:ascii="宋体" w:hAnsi="宋体" w:cs="宋体"/>
                <w:b/>
                <w:sz w:val="24"/>
                <w:lang w:eastAsia="zh-CN"/>
              </w:rPr>
              <w:t>品目分类编码</w:t>
            </w:r>
          </w:p>
        </w:tc>
        <w:tc>
          <w:tcPr>
            <w:tcW w:w="504" w:type="pct"/>
            <w:noWrap w:val="0"/>
            <w:vAlign w:val="center"/>
          </w:tcPr>
          <w:p w14:paraId="11CF3A9D">
            <w:pPr>
              <w:spacing w:line="420" w:lineRule="exact"/>
              <w:jc w:val="center"/>
              <w:rPr>
                <w:rFonts w:hint="eastAsia" w:ascii="宋体" w:hAnsi="宋体" w:eastAsia="宋体" w:cs="宋体"/>
                <w:b/>
                <w:kern w:val="2"/>
                <w:sz w:val="24"/>
                <w:szCs w:val="24"/>
                <w:lang w:val="en-US" w:eastAsia="zh-CN" w:bidi="ar-SA"/>
              </w:rPr>
            </w:pPr>
            <w:r>
              <w:rPr>
                <w:rFonts w:hint="eastAsia" w:ascii="宋体" w:hAnsi="宋体" w:cs="宋体"/>
                <w:b/>
                <w:sz w:val="24"/>
              </w:rPr>
              <w:t>参考品牌、型号</w:t>
            </w:r>
            <w:r>
              <w:rPr>
                <w:rFonts w:hint="eastAsia" w:ascii="宋体" w:hAnsi="宋体" w:cs="宋体"/>
                <w:b/>
                <w:sz w:val="24"/>
                <w:lang w:eastAsia="zh-CN"/>
              </w:rPr>
              <w:t>（</w:t>
            </w:r>
            <w:r>
              <w:rPr>
                <w:rFonts w:hint="eastAsia" w:ascii="宋体" w:hAnsi="宋体" w:cs="宋体"/>
                <w:b/>
                <w:sz w:val="24"/>
                <w:lang w:val="en-US" w:eastAsia="zh-CN"/>
              </w:rPr>
              <w:t>至少满足三家</w:t>
            </w:r>
            <w:r>
              <w:rPr>
                <w:rFonts w:hint="eastAsia" w:ascii="宋体" w:hAnsi="宋体" w:cs="宋体"/>
                <w:b/>
                <w:sz w:val="24"/>
                <w:lang w:eastAsia="zh-CN"/>
              </w:rPr>
              <w:t>）</w:t>
            </w:r>
          </w:p>
        </w:tc>
        <w:tc>
          <w:tcPr>
            <w:tcW w:w="590" w:type="pct"/>
            <w:noWrap w:val="0"/>
            <w:vAlign w:val="center"/>
          </w:tcPr>
          <w:p w14:paraId="31EC159B">
            <w:pPr>
              <w:spacing w:line="420" w:lineRule="exact"/>
              <w:jc w:val="center"/>
              <w:rPr>
                <w:rFonts w:hint="default" w:ascii="宋体" w:hAnsi="宋体" w:cs="宋体"/>
                <w:b/>
                <w:sz w:val="24"/>
                <w:lang w:val="en-US" w:eastAsia="zh-CN"/>
              </w:rPr>
            </w:pPr>
            <w:r>
              <w:rPr>
                <w:rFonts w:hint="eastAsia" w:ascii="宋体" w:hAnsi="宋体" w:cs="宋体"/>
                <w:b/>
                <w:sz w:val="24"/>
                <w:lang w:val="en-US" w:eastAsia="zh-CN"/>
              </w:rPr>
              <w:t>技术参数</w:t>
            </w:r>
          </w:p>
        </w:tc>
        <w:tc>
          <w:tcPr>
            <w:tcW w:w="330" w:type="pct"/>
            <w:noWrap w:val="0"/>
            <w:vAlign w:val="center"/>
          </w:tcPr>
          <w:p w14:paraId="23F03CBF">
            <w:pPr>
              <w:spacing w:line="420" w:lineRule="exact"/>
              <w:jc w:val="center"/>
              <w:rPr>
                <w:rFonts w:ascii="宋体" w:hAnsi="宋体" w:eastAsia="宋体" w:cs="宋体"/>
                <w:b/>
                <w:kern w:val="2"/>
                <w:sz w:val="24"/>
                <w:szCs w:val="24"/>
                <w:lang w:val="en-US" w:eastAsia="zh-CN" w:bidi="ar-SA"/>
              </w:rPr>
            </w:pPr>
            <w:r>
              <w:rPr>
                <w:rFonts w:hint="eastAsia" w:ascii="宋体" w:hAnsi="宋体" w:cs="宋体"/>
                <w:b/>
                <w:sz w:val="24"/>
                <w:lang w:eastAsia="zh-CN"/>
              </w:rPr>
              <w:t>计量</w:t>
            </w:r>
            <w:r>
              <w:rPr>
                <w:rFonts w:hint="eastAsia" w:ascii="宋体" w:hAnsi="宋体" w:cs="宋体"/>
                <w:b/>
                <w:sz w:val="24"/>
              </w:rPr>
              <w:t>单位</w:t>
            </w:r>
          </w:p>
        </w:tc>
        <w:tc>
          <w:tcPr>
            <w:tcW w:w="322" w:type="pct"/>
            <w:noWrap w:val="0"/>
            <w:vAlign w:val="center"/>
          </w:tcPr>
          <w:p w14:paraId="5DF74BF3">
            <w:pPr>
              <w:spacing w:line="420" w:lineRule="exact"/>
              <w:jc w:val="center"/>
              <w:rPr>
                <w:rFonts w:ascii="宋体" w:hAnsi="宋体" w:cs="宋体"/>
                <w:b/>
                <w:sz w:val="24"/>
              </w:rPr>
            </w:pPr>
            <w:r>
              <w:rPr>
                <w:rFonts w:hint="eastAsia" w:ascii="宋体" w:hAnsi="宋体" w:cs="宋体"/>
                <w:b/>
                <w:sz w:val="24"/>
              </w:rPr>
              <w:t>数量</w:t>
            </w:r>
          </w:p>
        </w:tc>
        <w:tc>
          <w:tcPr>
            <w:tcW w:w="385" w:type="pct"/>
            <w:noWrap w:val="0"/>
            <w:vAlign w:val="center"/>
          </w:tcPr>
          <w:p w14:paraId="550F63D8">
            <w:pPr>
              <w:spacing w:line="420" w:lineRule="exact"/>
              <w:jc w:val="center"/>
              <w:rPr>
                <w:rFonts w:hint="default" w:ascii="宋体" w:hAnsi="宋体" w:eastAsia="宋体" w:cs="宋体"/>
                <w:b/>
                <w:sz w:val="24"/>
                <w:lang w:val="en-US" w:eastAsia="zh-CN"/>
              </w:rPr>
            </w:pPr>
            <w:r>
              <w:rPr>
                <w:rFonts w:hint="eastAsia" w:ascii="宋体" w:hAnsi="宋体" w:cs="宋体"/>
                <w:b/>
                <w:sz w:val="24"/>
              </w:rPr>
              <w:t>单价</w:t>
            </w:r>
          </w:p>
        </w:tc>
        <w:tc>
          <w:tcPr>
            <w:tcW w:w="409" w:type="pct"/>
            <w:noWrap w:val="0"/>
            <w:vAlign w:val="center"/>
          </w:tcPr>
          <w:p w14:paraId="0E387D71">
            <w:pPr>
              <w:spacing w:line="420" w:lineRule="exact"/>
              <w:jc w:val="center"/>
              <w:rPr>
                <w:rFonts w:hint="eastAsia" w:ascii="宋体" w:hAnsi="宋体" w:eastAsia="宋体" w:cs="宋体"/>
                <w:b/>
                <w:kern w:val="2"/>
                <w:sz w:val="24"/>
                <w:szCs w:val="24"/>
                <w:lang w:val="en-US" w:eastAsia="zh-CN" w:bidi="ar-SA"/>
              </w:rPr>
            </w:pPr>
            <w:r>
              <w:rPr>
                <w:rFonts w:hint="eastAsia" w:ascii="宋体" w:hAnsi="宋体" w:cs="宋体"/>
                <w:b/>
                <w:sz w:val="24"/>
                <w:lang w:eastAsia="zh-CN"/>
              </w:rPr>
              <w:t>小计</w:t>
            </w:r>
          </w:p>
        </w:tc>
        <w:tc>
          <w:tcPr>
            <w:tcW w:w="393" w:type="pct"/>
            <w:noWrap w:val="0"/>
            <w:vAlign w:val="center"/>
          </w:tcPr>
          <w:p w14:paraId="40E0270C">
            <w:pPr>
              <w:spacing w:line="420" w:lineRule="exact"/>
              <w:jc w:val="center"/>
              <w:rPr>
                <w:rFonts w:hint="default" w:ascii="宋体" w:hAnsi="宋体" w:eastAsia="宋体" w:cs="宋体"/>
                <w:b/>
                <w:kern w:val="2"/>
                <w:sz w:val="24"/>
                <w:szCs w:val="24"/>
                <w:lang w:val="en-US" w:eastAsia="zh-CN" w:bidi="ar-SA"/>
              </w:rPr>
            </w:pPr>
            <w:r>
              <w:rPr>
                <w:rFonts w:hint="eastAsia" w:ascii="宋体" w:hAnsi="宋体" w:cs="宋体"/>
                <w:b/>
                <w:kern w:val="2"/>
                <w:sz w:val="24"/>
                <w:szCs w:val="24"/>
                <w:lang w:val="en-US" w:eastAsia="zh-CN" w:bidi="ar-SA"/>
              </w:rPr>
              <w:t>是否核心产品</w:t>
            </w:r>
          </w:p>
        </w:tc>
        <w:tc>
          <w:tcPr>
            <w:tcW w:w="448" w:type="pct"/>
            <w:noWrap w:val="0"/>
            <w:vAlign w:val="center"/>
          </w:tcPr>
          <w:p w14:paraId="2F876199">
            <w:pPr>
              <w:spacing w:line="420" w:lineRule="exact"/>
              <w:jc w:val="center"/>
              <w:rPr>
                <w:rFonts w:hint="eastAsia" w:ascii="宋体" w:hAnsi="宋体" w:eastAsia="宋体" w:cs="宋体"/>
                <w:b/>
                <w:sz w:val="24"/>
                <w:lang w:eastAsia="zh-CN"/>
              </w:rPr>
            </w:pPr>
            <w:r>
              <w:rPr>
                <w:rFonts w:hint="eastAsia" w:ascii="宋体" w:hAnsi="宋体" w:cs="宋体"/>
                <w:b/>
                <w:sz w:val="24"/>
                <w:lang w:eastAsia="zh-CN"/>
              </w:rPr>
              <w:t>是否进口</w:t>
            </w:r>
          </w:p>
        </w:tc>
      </w:tr>
      <w:tr w14:paraId="2C67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exact"/>
        </w:trPr>
        <w:tc>
          <w:tcPr>
            <w:tcW w:w="329" w:type="pct"/>
            <w:noWrap w:val="0"/>
            <w:vAlign w:val="center"/>
          </w:tcPr>
          <w:p w14:paraId="5614F9D1">
            <w:pPr>
              <w:spacing w:line="420" w:lineRule="exact"/>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1</w:t>
            </w:r>
          </w:p>
        </w:tc>
        <w:tc>
          <w:tcPr>
            <w:tcW w:w="686" w:type="pct"/>
            <w:noWrap w:val="0"/>
            <w:vAlign w:val="center"/>
          </w:tcPr>
          <w:p w14:paraId="3A5C085E">
            <w:pPr>
              <w:spacing w:line="420" w:lineRule="exact"/>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专业课程目标达成度管理系统</w:t>
            </w:r>
          </w:p>
        </w:tc>
        <w:tc>
          <w:tcPr>
            <w:tcW w:w="598" w:type="pct"/>
            <w:noWrap w:val="0"/>
            <w:vAlign w:val="center"/>
          </w:tcPr>
          <w:p w14:paraId="044D2C52">
            <w:pPr>
              <w:widowControl/>
              <w:spacing w:line="420" w:lineRule="exact"/>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高等教育服务C02040000</w:t>
            </w:r>
          </w:p>
        </w:tc>
        <w:tc>
          <w:tcPr>
            <w:tcW w:w="504" w:type="pct"/>
            <w:noWrap w:val="0"/>
            <w:vAlign w:val="center"/>
          </w:tcPr>
          <w:p w14:paraId="283E01AE">
            <w:pPr>
              <w:widowControl/>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无</w:t>
            </w:r>
          </w:p>
        </w:tc>
        <w:tc>
          <w:tcPr>
            <w:tcW w:w="590" w:type="pct"/>
            <w:noWrap w:val="0"/>
            <w:vAlign w:val="center"/>
          </w:tcPr>
          <w:p w14:paraId="46DF243E">
            <w:pPr>
              <w:widowControl/>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详见以下“技术参数”</w:t>
            </w:r>
          </w:p>
        </w:tc>
        <w:tc>
          <w:tcPr>
            <w:tcW w:w="330" w:type="pct"/>
            <w:noWrap w:val="0"/>
            <w:vAlign w:val="center"/>
          </w:tcPr>
          <w:p w14:paraId="4EA29838">
            <w:pPr>
              <w:widowControl/>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个</w:t>
            </w:r>
          </w:p>
        </w:tc>
        <w:tc>
          <w:tcPr>
            <w:tcW w:w="322" w:type="pct"/>
            <w:noWrap w:val="0"/>
            <w:vAlign w:val="center"/>
          </w:tcPr>
          <w:p w14:paraId="0F4BB878">
            <w:pPr>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w:t>
            </w:r>
          </w:p>
        </w:tc>
        <w:tc>
          <w:tcPr>
            <w:tcW w:w="385" w:type="pct"/>
            <w:noWrap w:val="0"/>
            <w:vAlign w:val="center"/>
          </w:tcPr>
          <w:p w14:paraId="0E84F549">
            <w:pPr>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19.6万元</w:t>
            </w:r>
          </w:p>
        </w:tc>
        <w:tc>
          <w:tcPr>
            <w:tcW w:w="409" w:type="pct"/>
            <w:noWrap w:val="0"/>
            <w:vAlign w:val="center"/>
          </w:tcPr>
          <w:p w14:paraId="75921089">
            <w:pPr>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19.6万元</w:t>
            </w:r>
          </w:p>
        </w:tc>
        <w:tc>
          <w:tcPr>
            <w:tcW w:w="393" w:type="pct"/>
            <w:noWrap w:val="0"/>
            <w:vAlign w:val="center"/>
          </w:tcPr>
          <w:p w14:paraId="7FEDE45E">
            <w:pPr>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否</w:t>
            </w:r>
          </w:p>
        </w:tc>
        <w:tc>
          <w:tcPr>
            <w:tcW w:w="448" w:type="pct"/>
            <w:noWrap w:val="0"/>
            <w:vAlign w:val="center"/>
          </w:tcPr>
          <w:p w14:paraId="0CECD53F">
            <w:pPr>
              <w:spacing w:line="420" w:lineRule="exact"/>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否</w:t>
            </w:r>
          </w:p>
        </w:tc>
      </w:tr>
      <w:tr w14:paraId="25DB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1015" w:type="pct"/>
            <w:gridSpan w:val="2"/>
            <w:noWrap w:val="0"/>
            <w:vAlign w:val="center"/>
          </w:tcPr>
          <w:p w14:paraId="6D63C114">
            <w:pPr>
              <w:spacing w:line="420" w:lineRule="exact"/>
              <w:jc w:val="center"/>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sz w:val="24"/>
              </w:rPr>
              <w:t>金额合计</w:t>
            </w:r>
          </w:p>
        </w:tc>
        <w:tc>
          <w:tcPr>
            <w:tcW w:w="598" w:type="pct"/>
            <w:noWrap w:val="0"/>
            <w:vAlign w:val="center"/>
          </w:tcPr>
          <w:p w14:paraId="54FEEFA5">
            <w:pPr>
              <w:spacing w:line="420" w:lineRule="exact"/>
              <w:ind w:firstLine="2040" w:firstLineChars="850"/>
              <w:rPr>
                <w:rFonts w:hint="eastAsia" w:ascii="方正仿宋_GB2312" w:hAnsi="方正仿宋_GB2312" w:eastAsia="方正仿宋_GB2312" w:cs="方正仿宋_GB2312"/>
                <w:sz w:val="24"/>
              </w:rPr>
            </w:pPr>
          </w:p>
        </w:tc>
        <w:tc>
          <w:tcPr>
            <w:tcW w:w="3386" w:type="pct"/>
            <w:gridSpan w:val="8"/>
            <w:noWrap w:val="0"/>
            <w:vAlign w:val="center"/>
          </w:tcPr>
          <w:p w14:paraId="034D62A0">
            <w:pPr>
              <w:spacing w:line="420" w:lineRule="exact"/>
              <w:ind w:firstLine="2040" w:firstLineChars="850"/>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196,000.00元</w:t>
            </w:r>
          </w:p>
        </w:tc>
      </w:tr>
    </w:tbl>
    <w:p w14:paraId="70279E83">
      <w:pPr>
        <w:spacing w:line="440" w:lineRule="exact"/>
        <w:rPr>
          <w:rFonts w:hint="eastAsia" w:ascii="宋体" w:hAnsi="宋体"/>
          <w:b/>
          <w:sz w:val="24"/>
        </w:rPr>
      </w:pPr>
    </w:p>
    <w:p w14:paraId="348C127A">
      <w:pPr>
        <w:spacing w:line="440" w:lineRule="exact"/>
        <w:rPr>
          <w:rFonts w:hint="eastAsia" w:ascii="宋体" w:hAnsi="宋体"/>
          <w:b/>
          <w:sz w:val="24"/>
        </w:rPr>
      </w:pPr>
    </w:p>
    <w:p w14:paraId="561BA28A">
      <w:pPr>
        <w:spacing w:line="440" w:lineRule="exact"/>
        <w:rPr>
          <w:rFonts w:hint="eastAsia" w:ascii="宋体" w:hAnsi="宋体" w:eastAsia="宋体"/>
          <w:b/>
          <w:sz w:val="24"/>
        </w:rPr>
      </w:pPr>
      <w:r>
        <w:rPr>
          <w:rFonts w:hint="eastAsia" w:ascii="宋体" w:hAnsi="宋体" w:eastAsia="宋体"/>
          <w:b/>
          <w:sz w:val="24"/>
          <w:lang w:val="en-US" w:eastAsia="zh-CN"/>
        </w:rPr>
        <w:t>二、</w:t>
      </w:r>
      <w:r>
        <w:rPr>
          <w:rFonts w:hint="eastAsia" w:ascii="宋体" w:hAnsi="宋体" w:eastAsia="宋体"/>
          <w:b/>
          <w:sz w:val="24"/>
        </w:rPr>
        <w:t>采购服务需求清单</w:t>
      </w:r>
    </w:p>
    <w:p w14:paraId="01C29768">
      <w:pPr>
        <w:spacing w:line="440" w:lineRule="exact"/>
        <w:rPr>
          <w:rFonts w:hint="eastAsia" w:ascii="宋体" w:hAnsi="宋体"/>
          <w:b/>
          <w:sz w:val="24"/>
        </w:rPr>
      </w:pP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
        <w:gridCol w:w="795"/>
        <w:gridCol w:w="7958"/>
      </w:tblGrid>
      <w:tr w14:paraId="1861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 w:type="pct"/>
            <w:shd w:val="clear" w:color="auto" w:fill="auto"/>
            <w:vAlign w:val="center"/>
          </w:tcPr>
          <w:p w14:paraId="100BC0D9">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sz w:val="24"/>
                <w:szCs w:val="24"/>
                <w:vertAlign w:val="baseline"/>
                <w:lang w:val="en-US" w:eastAsia="zh-CN"/>
              </w:rPr>
              <w:t>1</w:t>
            </w:r>
          </w:p>
        </w:tc>
        <w:tc>
          <w:tcPr>
            <w:tcW w:w="436" w:type="pct"/>
            <w:shd w:val="clear" w:color="auto" w:fill="auto"/>
            <w:vAlign w:val="center"/>
          </w:tcPr>
          <w:p w14:paraId="42AD7834">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sz w:val="24"/>
                <w:szCs w:val="24"/>
                <w:lang w:val="en-US" w:eastAsia="zh-CN"/>
              </w:rPr>
              <w:t>系统总体要求</w:t>
            </w:r>
          </w:p>
        </w:tc>
        <w:tc>
          <w:tcPr>
            <w:tcW w:w="4365" w:type="pct"/>
            <w:shd w:val="clear" w:color="auto" w:fill="auto"/>
            <w:vAlign w:val="center"/>
          </w:tcPr>
          <w:p w14:paraId="2F1474F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kern w:val="2"/>
                <w:sz w:val="24"/>
                <w:szCs w:val="24"/>
                <w:lang w:val="en-US" w:eastAsia="zh-CN" w:bidi="ar-SA"/>
              </w:rPr>
              <w:t>（1）</w:t>
            </w:r>
            <w:r>
              <w:rPr>
                <w:rFonts w:hint="eastAsia" w:ascii="方正仿宋_GB2312" w:hAnsi="方正仿宋_GB2312" w:eastAsia="方正仿宋_GB2312" w:cs="方正仿宋_GB2312"/>
                <w:sz w:val="24"/>
                <w:szCs w:val="24"/>
                <w:highlight w:val="none"/>
                <w:lang w:val="en-US" w:eastAsia="zh-CN"/>
              </w:rPr>
              <w:t>采用B/S结构，支持edge、safari、Firefox、chrome等主流浏览器使用。</w:t>
            </w:r>
          </w:p>
          <w:p w14:paraId="3D63EBC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kern w:val="2"/>
                <w:sz w:val="24"/>
                <w:szCs w:val="24"/>
                <w:lang w:val="en-US" w:eastAsia="zh-CN" w:bidi="ar-SA"/>
              </w:rPr>
              <w:t>（2）</w:t>
            </w:r>
            <w:r>
              <w:rPr>
                <w:rFonts w:hint="eastAsia" w:ascii="方正仿宋_GB2312" w:hAnsi="方正仿宋_GB2312" w:eastAsia="方正仿宋_GB2312" w:cs="方正仿宋_GB2312"/>
                <w:sz w:val="24"/>
                <w:szCs w:val="24"/>
                <w:highlight w:val="none"/>
                <w:lang w:val="en-US" w:eastAsia="zh-CN"/>
              </w:rPr>
              <w:t>具有移动客户端，支持iOS和Android操作系统。</w:t>
            </w:r>
          </w:p>
          <w:p w14:paraId="725F6E0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kern w:val="2"/>
                <w:sz w:val="24"/>
                <w:szCs w:val="24"/>
                <w:lang w:val="en-US" w:eastAsia="zh-CN" w:bidi="ar-SA"/>
              </w:rPr>
              <w:t>（3）</w:t>
            </w:r>
            <w:r>
              <w:rPr>
                <w:rFonts w:hint="eastAsia" w:ascii="方正仿宋_GB2312" w:hAnsi="方正仿宋_GB2312" w:eastAsia="方正仿宋_GB2312" w:cs="方正仿宋_GB2312"/>
                <w:kern w:val="2"/>
                <w:sz w:val="24"/>
                <w:szCs w:val="24"/>
                <w:lang w:val="en-US" w:eastAsia="zh-Hans" w:bidi="ar-SA"/>
              </w:rPr>
              <w:t>▲</w:t>
            </w:r>
            <w:r>
              <w:rPr>
                <w:rFonts w:hint="eastAsia" w:ascii="方正仿宋_GB2312" w:hAnsi="方正仿宋_GB2312" w:eastAsia="方正仿宋_GB2312" w:cs="方正仿宋_GB2312"/>
                <w:sz w:val="24"/>
                <w:szCs w:val="24"/>
                <w:highlight w:val="none"/>
                <w:lang w:val="en-US" w:eastAsia="zh-CN"/>
              </w:rPr>
              <w:t>微服务平台作为一体化基础平台，各系统模块均基于一体化基础平台实现统一管理及应用，具有统一的PC端门户、用户个人空间、管理后台、移动端APP。</w:t>
            </w:r>
          </w:p>
          <w:p w14:paraId="1B136CF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kern w:val="2"/>
                <w:sz w:val="24"/>
                <w:szCs w:val="24"/>
                <w:lang w:val="en-US" w:eastAsia="zh-CN" w:bidi="ar-SA"/>
              </w:rPr>
              <w:t>（4）</w:t>
            </w:r>
            <w:r>
              <w:rPr>
                <w:rFonts w:hint="eastAsia" w:ascii="方正仿宋_GB2312" w:hAnsi="方正仿宋_GB2312" w:eastAsia="方正仿宋_GB2312" w:cs="方正仿宋_GB2312"/>
                <w:sz w:val="24"/>
                <w:szCs w:val="24"/>
                <w:highlight w:val="none"/>
                <w:lang w:val="en-US" w:eastAsia="zh-CN"/>
              </w:rPr>
              <w:t>系统设计满足大规模用户使用、支持分布式部署，应满足万人在线的性能要求。</w:t>
            </w:r>
          </w:p>
          <w:p w14:paraId="560C06E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kern w:val="2"/>
                <w:sz w:val="24"/>
                <w:szCs w:val="24"/>
                <w:lang w:val="en-US" w:eastAsia="zh-CN" w:bidi="ar-SA"/>
              </w:rPr>
              <w:t>（5）</w:t>
            </w:r>
            <w:r>
              <w:rPr>
                <w:rFonts w:hint="eastAsia" w:ascii="方正仿宋_GB2312" w:hAnsi="方正仿宋_GB2312" w:eastAsia="方正仿宋_GB2312" w:cs="方正仿宋_GB2312"/>
                <w:sz w:val="24"/>
                <w:szCs w:val="24"/>
                <w:highlight w:val="none"/>
                <w:lang w:val="en-US" w:eastAsia="zh-CN"/>
              </w:rPr>
              <w:t>具备良好的应用集成能力和扩展能力，提供部分预留的其他应用系统接口或提供健全的二次开发接口，支持学校进行二次开发。</w:t>
            </w:r>
          </w:p>
          <w:p w14:paraId="2B16798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firstLine="0" w:firstLineChars="0"/>
              <w:jc w:val="left"/>
              <w:textAlignment w:val="auto"/>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kern w:val="2"/>
                <w:sz w:val="24"/>
                <w:szCs w:val="24"/>
                <w:lang w:val="en-US" w:eastAsia="zh-CN" w:bidi="ar-SA"/>
              </w:rPr>
              <w:t>（6）</w:t>
            </w:r>
            <w:r>
              <w:rPr>
                <w:rFonts w:hint="eastAsia" w:ascii="方正仿宋_GB2312" w:hAnsi="方正仿宋_GB2312" w:eastAsia="方正仿宋_GB2312" w:cs="方正仿宋_GB2312"/>
                <w:sz w:val="24"/>
                <w:szCs w:val="24"/>
                <w:highlight w:val="none"/>
                <w:lang w:val="en-US" w:eastAsia="zh-CN"/>
              </w:rPr>
              <w:t>部署方式：采用云端部署方式。</w:t>
            </w:r>
          </w:p>
        </w:tc>
      </w:tr>
      <w:tr w14:paraId="375F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 w:type="pct"/>
            <w:shd w:val="clear" w:color="auto" w:fill="auto"/>
            <w:vAlign w:val="center"/>
          </w:tcPr>
          <w:p w14:paraId="752775A0">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sz w:val="24"/>
                <w:szCs w:val="24"/>
                <w:vertAlign w:val="baseline"/>
                <w:lang w:val="en-US" w:eastAsia="zh-CN"/>
              </w:rPr>
              <w:t>2</w:t>
            </w:r>
          </w:p>
        </w:tc>
        <w:tc>
          <w:tcPr>
            <w:tcW w:w="436" w:type="pct"/>
            <w:shd w:val="clear" w:color="auto" w:fill="auto"/>
            <w:vAlign w:val="center"/>
          </w:tcPr>
          <w:p w14:paraId="2D87E705">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sz w:val="24"/>
                <w:szCs w:val="24"/>
                <w:lang w:val="en-US" w:eastAsia="zh-CN"/>
              </w:rPr>
              <w:t>后台管理平台</w:t>
            </w:r>
          </w:p>
        </w:tc>
        <w:tc>
          <w:tcPr>
            <w:tcW w:w="4365" w:type="pct"/>
            <w:shd w:val="clear" w:color="auto" w:fill="auto"/>
            <w:vAlign w:val="center"/>
          </w:tcPr>
          <w:p w14:paraId="7F48B96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1．用户管理</w:t>
            </w:r>
          </w:p>
          <w:p w14:paraId="797660B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（1）统一身份认证</w:t>
            </w:r>
          </w:p>
          <w:p w14:paraId="6FC3B3A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①支持对接其他系统的统一角色管理、统一用户管理和统一授权访问。</w:t>
            </w:r>
          </w:p>
          <w:p w14:paraId="5692EF2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②支持对学校的组织、用户、角色等信息进行统一管理。</w:t>
            </w:r>
          </w:p>
          <w:p w14:paraId="2CC5D54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（2）用户管理</w:t>
            </w:r>
          </w:p>
          <w:p w14:paraId="6DB467D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①支持增、删、查、改人员信息，支持批量添加、修改人员信息。</w:t>
            </w:r>
          </w:p>
          <w:p w14:paraId="554973F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②支持自定义人员角色、部门；支持添加人员进入多部门以及给用户添加多角色。</w:t>
            </w:r>
          </w:p>
          <w:p w14:paraId="37FBB92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③支持批量、单独把人员移出单位，移出单位的人员可以恢复。</w:t>
            </w:r>
          </w:p>
          <w:p w14:paraId="2466941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④支持管理员根据角色或部门导出对应人员。</w:t>
            </w:r>
          </w:p>
          <w:p w14:paraId="5C680C9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⑤支持手机号以及学工号选择是否脱敏。</w:t>
            </w:r>
          </w:p>
          <w:p w14:paraId="60C919A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（3）角色管理</w:t>
            </w:r>
          </w:p>
          <w:p w14:paraId="396836B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①支持单位根据自身需求添加角色。</w:t>
            </w:r>
          </w:p>
          <w:p w14:paraId="40ED1B4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②每个角色支持单独管理角色对应的用户，单位自行添加的角色支持删除。</w:t>
            </w:r>
          </w:p>
          <w:p w14:paraId="6A8E1B5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③可以为角色下的用户设置管理范围，并提供接口给第三方应用调用管理范围数据。</w:t>
            </w:r>
          </w:p>
          <w:p w14:paraId="75B0246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④可以自定义添加、删除角色组，把角色添加进角色组。</w:t>
            </w:r>
          </w:p>
          <w:p w14:paraId="72C2AC6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⑤一个角色可以存在于多个角色组。</w:t>
            </w:r>
          </w:p>
          <w:p w14:paraId="208D874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⑥支持搜索角色，以及在同个角色组下给角色排序。</w:t>
            </w:r>
          </w:p>
          <w:p w14:paraId="1DD039F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（4）组织架构</w:t>
            </w:r>
          </w:p>
          <w:p w14:paraId="093C86D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①支持针对不同场景，创建多套组织架构。</w:t>
            </w:r>
          </w:p>
          <w:p w14:paraId="24DF8F7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②支持通过手动单个添加和批量导入的方式建设部门，组织架构最多支持五级部门。</w:t>
            </w:r>
          </w:p>
          <w:p w14:paraId="4B60B55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③每个组织架构部门支持自定义部门名称、增删改部门下成员、设置部门主管。</w:t>
            </w:r>
          </w:p>
          <w:p w14:paraId="2663417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④每个部门支持同级排序以及跨级选择上级部门。</w:t>
            </w:r>
          </w:p>
          <w:p w14:paraId="7CA0241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⑤支持部门主管访问用户管理后，只能管理主管的部门的用户。</w:t>
            </w:r>
          </w:p>
          <w:p w14:paraId="042CECE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（5）单位验证管理</w:t>
            </w:r>
          </w:p>
          <w:p w14:paraId="457BB2D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①支持设置单位外用户加入单位的验证方式。</w:t>
            </w:r>
          </w:p>
          <w:p w14:paraId="13D94C8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②支持多种单位验证方式，至少包括学工号验证、密码验证、通过统一身份认证。</w:t>
            </w:r>
          </w:p>
          <w:p w14:paraId="0A5F36D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2．终端管理</w:t>
            </w:r>
          </w:p>
          <w:p w14:paraId="1468F5F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（1）移动端管理</w:t>
            </w:r>
          </w:p>
          <w:p w14:paraId="76E135C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①支持按角色给不同的用户配置不同的移动端页面，支持编辑每个移动端页面的显示名称、邀请码，支持通过输入邀请码访问配置好的移动端页面。</w:t>
            </w:r>
          </w:p>
          <w:p w14:paraId="5E181B9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②支持一键复制页面链接，以及邀请码。</w:t>
            </w:r>
          </w:p>
          <w:p w14:paraId="6FDCC7F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③提供至少5种页面模板供单位选择使用。</w:t>
            </w:r>
          </w:p>
          <w:p w14:paraId="4EF756D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④简洁版模板：支持用户自定义轮播图内容、链接、排序；支持配置搜索条特性。</w:t>
            </w:r>
          </w:p>
          <w:p w14:paraId="7660A0E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基础版模板：支持用户自定义轮播图内容、链接、排序；支持用户自定义添加重要应用到首页；支持设置进入二级页面的按钮的图标、名称；支持设置一级页面中瀑布流推荐的内容，可选择使用系统推荐或自定义推荐，自定义推荐支持设置推荐分类和每个分类下的具体推荐内容，支持设置推荐内容固定排序或随机排序。</w:t>
            </w:r>
          </w:p>
          <w:p w14:paraId="4B13F80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⑥自定义版模板：采用拖拽样式模块配置页面的模式，提供八种页面布局样式，支持管理员自由拖拽组合页面布局，并填充内容。提供 轮播图、搜索、多图列表、推荐、二级页面按钮；链接、排序。搜索支持选择搜索条样式、特性。多图列表支持编辑展示样式、内容。推荐支持选择使用系统推荐或自定义推荐，自定义推荐支持设置推荐分类和每个分类下的具体推荐内容，支持设置推荐内容固定排序或随机排序。进入二级页面的按钮支持设置图标、名称</w:t>
            </w:r>
          </w:p>
          <w:p w14:paraId="3935EC9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⑦门户模板：以门户为基础创建模板，配置更加灵活</w:t>
            </w:r>
          </w:p>
          <w:p w14:paraId="4ECD61C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（2）个人空间管理</w:t>
            </w:r>
          </w:p>
          <w:p w14:paraId="0D8372A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①支持按角色给不同用户配置不同的个人空间页面。</w:t>
            </w:r>
          </w:p>
          <w:p w14:paraId="512D015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②支持配置空间头部底色、上传单位logo图片；支持配置空间头部宽度。</w:t>
            </w:r>
          </w:p>
          <w:p w14:paraId="6676485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③支持自定义个人空间左侧菜单。平台提供系统菜单，可以根据需要选择显示或隐藏。</w:t>
            </w:r>
          </w:p>
          <w:p w14:paraId="73BBCAB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④支持管理员新建左侧菜单，配置名称、图标、打开方式。自建的左侧菜单内容支持添加单个应用页面、多应用入口、挂接url、创建门户网页。</w:t>
            </w:r>
          </w:p>
          <w:p w14:paraId="590B8CB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⑤个人空间支持二级菜单设置，至少支持五级。</w:t>
            </w:r>
          </w:p>
          <w:p w14:paraId="617F6BD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（3）门户管理</w:t>
            </w:r>
          </w:p>
          <w:p w14:paraId="4FF73F0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①支持一个单位创建多个网站；</w:t>
            </w:r>
          </w:p>
          <w:p w14:paraId="4C19D05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②支持随时根据需求对已建网站进行修改编辑及删除；</w:t>
            </w:r>
          </w:p>
          <w:p w14:paraId="50CF58B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③支持网站挂接单位自有域名；</w:t>
            </w:r>
          </w:p>
          <w:p w14:paraId="44392C3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④支持网站上传网页图标</w:t>
            </w:r>
          </w:p>
          <w:p w14:paraId="3E27E94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⑤支持网站编辑网站简介</w:t>
            </w:r>
          </w:p>
          <w:p w14:paraId="7546EB7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⑥支持设置网站访问权限为无需权限和需登录后访问；</w:t>
            </w:r>
          </w:p>
          <w:p w14:paraId="437FB04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⑦▲支持网站自定义一种或多种登录方式，包含手机号登录密码登录、手机号验证码登录、账号密码登录、第三方统一认证登录等方式；</w:t>
            </w:r>
          </w:p>
          <w:p w14:paraId="41DE447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⑧账号体系支持对接第三方系统， SSO统一身份认证登录服务；</w:t>
            </w:r>
          </w:p>
          <w:p w14:paraId="1C0E3C8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⑨支持自主添加管理员；</w:t>
            </w:r>
          </w:p>
          <w:p w14:paraId="259D13C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⑩支持设置管理员编辑权限，编辑内容包括页面布局编辑、页面内容编辑、资源条目编辑、文章内容编辑等；</w:t>
            </w:r>
          </w:p>
          <w:p w14:paraId="0B26C28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⑪支持设置管理员按照网页和网页内的模块的独立权限，权限范围精确到具体的页面模块；</w:t>
            </w:r>
          </w:p>
          <w:p w14:paraId="076D787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⑫支持添加审核人员进行文章审核；</w:t>
            </w:r>
          </w:p>
          <w:p w14:paraId="03D2C17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⑬支持自定义设置模块文章是否需要审核；</w:t>
            </w:r>
          </w:p>
          <w:p w14:paraId="28B74C6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⑭支持设置多节点审核流程；</w:t>
            </w:r>
          </w:p>
          <w:p w14:paraId="1866299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⑮支持统计门户访问PV数据，可自定义时间段查看；</w:t>
            </w:r>
          </w:p>
          <w:p w14:paraId="48EE8EB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⑯支持统计门户访问明细，可根据ip查询记录；</w:t>
            </w:r>
          </w:p>
          <w:p w14:paraId="07D0F32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⑰支持统计门户访客数uv数据，可自定义时间段查看；</w:t>
            </w:r>
          </w:p>
          <w:p w14:paraId="0B7841A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⑱支持统计门户访问设备占比</w:t>
            </w:r>
          </w:p>
          <w:p w14:paraId="0BCE3CD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⑲支持统计门户内模块访问数据；详情可自定义时间段查看；</w:t>
            </w:r>
          </w:p>
          <w:p w14:paraId="4AA6F0E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⑳支持统计网站资源条目访问统计情况，包含排行榜等信息；可自定义时间段查看；</w:t>
            </w:r>
          </w:p>
          <w:p w14:paraId="7C1145E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㉑提供可视化页面设计后台，拖拽式页面布局；</w:t>
            </w:r>
          </w:p>
          <w:p w14:paraId="31AAF75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㉒提供多种网页模板，选择模板后可快速生新网站；</w:t>
            </w:r>
          </w:p>
          <w:p w14:paraId="5846498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㉓支持自定义网站主题颜色，统一页面上的应用、图标等相关视觉元素，便捷美观；</w:t>
            </w:r>
          </w:p>
          <w:p w14:paraId="7939BC5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㉔支持网页设置一个或多个背景元素，背景包含：颜色、图片形式，背景图片提供素材库，支持多种裁剪方式选择；</w:t>
            </w:r>
          </w:p>
          <w:p w14:paraId="426DE14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㉕门户支持添加和编辑布局模块，可实现快速将网页分隔为固定比例的布局，放入布局中的模块自适应布局的宽高；</w:t>
            </w:r>
          </w:p>
          <w:p w14:paraId="7CF8F05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3．运行监控</w:t>
            </w:r>
          </w:p>
          <w:p w14:paraId="0793441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（1）具备平台概况、应用使用统计、用户行为分析、用户行为分析、内容数据统计等。</w:t>
            </w:r>
          </w:p>
          <w:p w14:paraId="5E175F5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（2）支持用户自主添加统计页面，可以设置显示和隐藏统计页面，可以上下移动统计频道的位置。</w:t>
            </w:r>
          </w:p>
          <w:p w14:paraId="1645111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4．平台设置</w:t>
            </w:r>
          </w:p>
          <w:p w14:paraId="344D57A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（1）展示单位名称、单位id、单位属性、单位所属地区。</w:t>
            </w:r>
          </w:p>
          <w:p w14:paraId="41BC968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（2）能控制单位内部人员使用移动端app时，首页内容、个人邀请码是否显示、个人信息是否显示、是否能通过移动端app跳转到第三方网页，如果设置为不能跳转第三方网页，可以单独设置白名单。</w:t>
            </w:r>
          </w:p>
          <w:p w14:paraId="3C5D999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（3）能够记录微服务后台管理员的操作日志，包括针对界面、应用、单位设置的操作。</w:t>
            </w:r>
          </w:p>
          <w:p w14:paraId="635C3A3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（4）业务系统配置</w:t>
            </w:r>
          </w:p>
          <w:p w14:paraId="48B56EE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①支持为单位不同角色配置不同的管理后台</w:t>
            </w:r>
          </w:p>
          <w:p w14:paraId="346834A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②支持创建多个后台模板，可以增加、删除模板，针对每一个模板可以设置不同的登录地址、不同的登录页。</w:t>
            </w:r>
          </w:p>
          <w:p w14:paraId="24280E8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③不同的模板，可以指定多个角色可使用，针对不同的角色可以再次设置模板内菜单以及应用分类的使用权限。</w:t>
            </w:r>
          </w:p>
          <w:p w14:paraId="3BD98F8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④不同的模板，可以关联不同的角色组，对应角色人员登录模板后，角色管理里只显示关联的角色组。</w:t>
            </w:r>
          </w:p>
          <w:p w14:paraId="271FC34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⑤在模板里，可以自定义顶部导航菜单，支持增加、屏蔽导航菜单。每一个自定义的顶部导航菜单可以设置是否自定义侧面导航菜单。侧面导航菜单支持增加、删除、修改、排序，支持至少4级侧面导航菜单。</w:t>
            </w:r>
          </w:p>
          <w:p w14:paraId="276EEFE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⑥自定义菜单内容区域支持至少四种形式：可以从单位应用市场中选择一个应用添加进内容区域；可以使用万能表单、审批搭建内容区域；可以挂接url；可以通过拖拽的方式配置一个网页展示在内容区域。</w:t>
            </w:r>
          </w:p>
        </w:tc>
      </w:tr>
      <w:tr w14:paraId="70E5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 w:type="pct"/>
            <w:shd w:val="clear" w:color="auto" w:fill="auto"/>
            <w:vAlign w:val="center"/>
          </w:tcPr>
          <w:p w14:paraId="1F3F307B">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kern w:val="2"/>
                <w:sz w:val="24"/>
                <w:szCs w:val="24"/>
                <w:vertAlign w:val="baseline"/>
                <w:lang w:val="en-US" w:eastAsia="zh-CN" w:bidi="ar-SA"/>
              </w:rPr>
              <w:t>3</w:t>
            </w:r>
          </w:p>
        </w:tc>
        <w:tc>
          <w:tcPr>
            <w:tcW w:w="436" w:type="pct"/>
            <w:shd w:val="clear" w:color="auto" w:fill="auto"/>
            <w:vAlign w:val="center"/>
          </w:tcPr>
          <w:p w14:paraId="0B507A3B">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sz w:val="24"/>
                <w:szCs w:val="24"/>
                <w:lang w:val="en-US" w:eastAsia="zh-CN"/>
              </w:rPr>
              <w:t>专业课程目标达成度管理系统</w:t>
            </w:r>
          </w:p>
        </w:tc>
        <w:tc>
          <w:tcPr>
            <w:tcW w:w="4365" w:type="pct"/>
            <w:shd w:val="clear" w:color="auto" w:fill="auto"/>
            <w:vAlign w:val="center"/>
          </w:tcPr>
          <w:p w14:paraId="061C6E0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1．岗位能力与产业分析</w:t>
            </w:r>
          </w:p>
          <w:p w14:paraId="10D10F0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学科专业全景信息展示，包括专业概述、培养目标、课程体系、职业证书、发展前景等内容，并提供行业、岗位、区域、企业等多维度数据可视化呈现，包括国内热门专业、高薪专业、热门区域TOP5、热门行业TOP5、热门企业TOP5等数据。</w:t>
            </w:r>
          </w:p>
          <w:p w14:paraId="539D37D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（2）支持查看相关专业的行业信息，并提供对应的匹配岗位及岗位数量。</w:t>
            </w:r>
          </w:p>
          <w:p w14:paraId="10351C5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（3）支持按地区、行业类型、企业类型查询岗位需求数量、平均薪资、能力要求、经验要求、学历要求，能力要求支持词云与占比排名展示。</w:t>
            </w:r>
          </w:p>
          <w:p w14:paraId="203C4E4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（4）支持岗位招聘信息溯源查看，可从招聘信息中提取岗位能力要素并进行对比展示。</w:t>
            </w:r>
          </w:p>
          <w:p w14:paraId="191A538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（5）支持区域岗位分布、薪资水平、薪资区间统计分析，可展示学历、工作经验等因素对薪资水平的影响。</w:t>
            </w:r>
          </w:p>
          <w:p w14:paraId="66C293D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（6）支持产业图谱可视化展示，支持按省份/经济区筛选，可下钻查看细分行业、典型岗位、代表性企业及人才需求分布。</w:t>
            </w:r>
          </w:p>
          <w:p w14:paraId="7DE1F87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（7）支持在岗位薪资分析中，按不同地区、不同行业类型查看岗位分析。支持薪资分析中查看薪资的区间分布以及人才经验、学历对薪资的影响。</w:t>
            </w:r>
          </w:p>
          <w:p w14:paraId="0B8F131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支持查看专业相关的AI分析趋势，包括该专业所对应的各类行业在未来的人才发展走势，例如哪些行业呈上升趋势、哪些保持平稳，并提供对岗位技能需求变化的智能预测。同时支持对相关院校布局和重点建设情况进行趋势分析与预测。</w:t>
            </w:r>
          </w:p>
          <w:p w14:paraId="473542D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（9）支持全国专业院校布点、招生计划趋势、专业增减停撤情况可视化分析。</w:t>
            </w:r>
          </w:p>
          <w:p w14:paraId="77689D7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（10）支持专业培养方向与就业岗位联动展示，提供招聘信息检索与岗位智能匹配服务。</w:t>
            </w:r>
          </w:p>
          <w:p w14:paraId="4EBBBED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w:t>
            </w:r>
            <w:r>
              <w:rPr>
                <w:rFonts w:hint="eastAsia" w:ascii="方正仿宋_GB2312" w:hAnsi="方正仿宋_GB2312" w:eastAsia="方正仿宋_GB2312" w:cs="方正仿宋_GB2312"/>
                <w:kern w:val="2"/>
                <w:sz w:val="24"/>
                <w:szCs w:val="24"/>
                <w:lang w:val="en-US" w:eastAsia="zh-Hans" w:bidi="ar-SA"/>
              </w:rPr>
              <w:t>▲</w:t>
            </w:r>
            <w:r>
              <w:rPr>
                <w:rFonts w:hint="eastAsia" w:ascii="方正仿宋_GB2312" w:hAnsi="方正仿宋_GB2312" w:eastAsia="方正仿宋_GB2312" w:cs="方正仿宋_GB2312"/>
                <w:kern w:val="2"/>
                <w:sz w:val="24"/>
                <w:szCs w:val="24"/>
                <w:lang w:val="en-US" w:eastAsia="zh-CN" w:bidi="ar-SA"/>
              </w:rPr>
              <w:t>支持考公就业方向分析。系统提供公务员招考职位的地域分布热力图及历年招录趋势，呈现热门岗位清单以及与之关联的学历、基层经验、政治面貌等核心条件占比；展示公务员基础的职级与薪资标准体系。</w:t>
            </w:r>
          </w:p>
          <w:p w14:paraId="1B81281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（12）支持公务员招考地域分布、历年招录趋势、热门岗位、报考条件、单位分布等数据统计与展示。</w:t>
            </w:r>
          </w:p>
          <w:p w14:paraId="096676B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2．人培方案管理</w:t>
            </w:r>
          </w:p>
          <w:p w14:paraId="2CB4858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（1）支持院系、专业、课程等基础数据统一管理，支持数据表结构自定义与字段扩展。</w:t>
            </w:r>
          </w:p>
          <w:p w14:paraId="09F170A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（2）支持课程性质、课程类别、考核方式、学科类别等数据字典自定义配置。</w:t>
            </w:r>
          </w:p>
          <w:p w14:paraId="7042A2F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（3）支持系统菜单、功能权限、数据范围按角色精细化配置。</w:t>
            </w:r>
          </w:p>
          <w:p w14:paraId="6B87B96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（4）支持智能导入与粘贴识别，可智能识别培养方案结构化数据功能，支持通过从word中拷贝并在对应组件中粘贴自动识别并提取内容。</w:t>
            </w:r>
          </w:p>
          <w:p w14:paraId="1A909EC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（5）支持培养方案修订任务创建、下发、分配负责人，支持在线编辑、字体、字号、颜色、多级标题、行间距、对齐控制、分页、特殊字符添加、导入解析。</w:t>
            </w:r>
          </w:p>
          <w:p w14:paraId="0A1E7C1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（6）内置培养目标、毕业要求、指标点、课程支撑矩阵、教学计划、学时学分统计、课程拓扑等结构化组件，支持自定义组件与学时学分自动计算。</w:t>
            </w:r>
          </w:p>
          <w:p w14:paraId="6647931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（7）支持培养方案数据合法性自动校验、异常提醒与修正引导。</w:t>
            </w:r>
          </w:p>
          <w:p w14:paraId="46C1297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（8）支持多版本培养方案对比，按模块差异高亮标注，支持对比结果导出。</w:t>
            </w:r>
          </w:p>
          <w:p w14:paraId="14D4256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（9）支持自定义审批流程，支持会签、或签、条件分支、电子签名、审批通过后自动提醒、专家库管理与在线评审。</w:t>
            </w:r>
          </w:p>
          <w:p w14:paraId="200278F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（10）支持培养方案修订进度统计、督办提醒、多维度可视化呈现。</w:t>
            </w:r>
          </w:p>
          <w:p w14:paraId="50A6198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（11）支持与教务系统双向对接，同步专业、课程、教师等基础数据，回传教学计划数据。</w:t>
            </w:r>
          </w:p>
          <w:p w14:paraId="1A22AF7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3．教学大纲建设</w:t>
            </w:r>
          </w:p>
          <w:p w14:paraId="0D17F1E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（1）支持与教务系统课程信息同步，确保课程编号、名称等基础数据一致。</w:t>
            </w:r>
          </w:p>
          <w:p w14:paraId="1724461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（2）支持课程目标设置与权重配置（权重总和为100%），支持课程目标与毕业要求指标点建立支撑关系并配置支撑等级（H/M/L）。</w:t>
            </w:r>
          </w:p>
          <w:p w14:paraId="2A4AF66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（3）支持按章节维护教学内容、重难点、思政点，支持章节与课程目标自动关联，支持多版式表格展示。</w:t>
            </w:r>
          </w:p>
          <w:p w14:paraId="1D6601A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（4）支持多级考核方式、权重分配、评价标准、成绩构成、评分规则自定义配置。</w:t>
            </w:r>
          </w:p>
          <w:p w14:paraId="087C81C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（5）支持授课计划在线编制、引用章节内容、维护与导出。</w:t>
            </w:r>
          </w:p>
          <w:p w14:paraId="440BBA4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（6）支持课程教师团队、教材信息增删改查管理。</w:t>
            </w:r>
          </w:p>
          <w:p w14:paraId="7AF1344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（7）支持知识图谱、目标图谱、思政图谱、问题图谱等多维图谱构建与自定义展示。</w:t>
            </w:r>
          </w:p>
          <w:p w14:paraId="72548CE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（8）支持Word、PDF格式大纲导入与课程目标、教学内容等结构化信息智能解析。</w:t>
            </w:r>
          </w:p>
          <w:p w14:paraId="7B7033E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（9）支持课程大纲模板对应组件、样式自定义配置，可灵活选择模板并引用课程关键数据快速生成大纲。</w:t>
            </w:r>
          </w:p>
          <w:p w14:paraId="7E21146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（10）支持课程大纲在线编制，可自定义配置审批流程，支持会签、或签、条件分支、电子签名、自动提醒，并支持大纲导出与排版设置。</w:t>
            </w:r>
          </w:p>
          <w:p w14:paraId="231D3F2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w:t>
            </w:r>
            <w:r>
              <w:rPr>
                <w:rFonts w:hint="eastAsia" w:ascii="方正仿宋_GB2312" w:hAnsi="方正仿宋_GB2312" w:eastAsia="方正仿宋_GB2312" w:cs="方正仿宋_GB2312"/>
                <w:kern w:val="2"/>
                <w:sz w:val="24"/>
                <w:szCs w:val="24"/>
                <w:lang w:val="en-US" w:eastAsia="zh-Hans" w:bidi="ar-SA"/>
              </w:rPr>
              <w:t>专业图谱</w:t>
            </w:r>
          </w:p>
          <w:p w14:paraId="36D080A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（1）支持专业体系、课程体系、知识图谱、问题图谱、目标图谱、能力图谱、岗位图谱、竞赛图谱可视化展示。</w:t>
            </w:r>
          </w:p>
          <w:p w14:paraId="0DF4A04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（2）支持专业门户与图谱页面快速切换，支持课程检索与定位。</w:t>
            </w:r>
          </w:p>
          <w:p w14:paraId="21623D7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（3）支持培养目标、毕业要求、毕业要求指标点、支撑矩阵可视化查看。</w:t>
            </w:r>
          </w:p>
          <w:p w14:paraId="347CC0E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（4）支持2D/3D模式切换，展示培养目标、毕业要求、指标点、课程、课程目标、知识点、技能点之间的支撑与关联关系。</w:t>
            </w:r>
          </w:p>
          <w:p w14:paraId="41A6290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（5）支持课程拓扑图、先修后继关系、学期课程安排展示。</w:t>
            </w:r>
          </w:p>
          <w:p w14:paraId="47E6F74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（6）支持教师自定义问题图谱，支持卡片编辑、连线、标签设置与知识点关联。</w:t>
            </w:r>
          </w:p>
          <w:p w14:paraId="6F20B30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（7）支持问题关联知识点图谱展示，支撑问题导向式学习与知识点串联。</w:t>
            </w:r>
          </w:p>
          <w:p w14:paraId="1F610E0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（8）支持课程目标与知识点关联，自动统计课程达成度、目标达成度、关联知识点数量。</w:t>
            </w:r>
          </w:p>
          <w:p w14:paraId="43157D7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（9）支持专业负责人、课程负责人按权限维护专业与课程核心数据，维护专业—课程、目标—毕业要求关联关系。</w:t>
            </w:r>
          </w:p>
          <w:p w14:paraId="284F9D1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（10）支持课程与专业层级图谱自动生成、自定义编辑、命名与版本管理。</w:t>
            </w:r>
          </w:p>
          <w:p w14:paraId="3984979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（11）支持知识点分类、前后置关系、属性标签定义，支持图谱个性化配置。</w:t>
            </w:r>
          </w:p>
          <w:p w14:paraId="4BEEE12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（12）支持按专业、院系、校级三种纬度，以个性化图谱，知识森林的形式查看整体课程知识建设情况、课程知识点关联和支撑情况，并支持跳转进行知识点学习。</w:t>
            </w:r>
          </w:p>
          <w:p w14:paraId="7DD3905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（13）支持根据布鲁姆体系规则，细化专业建设培养目标，设置能力认知维度和知识维度，以能力图谱的形式展现指标点、毕业要求的整体发展趋势、以及各个能力、知识单元的具体要求高度添加培养能力</w:t>
            </w:r>
          </w:p>
          <w:p w14:paraId="4A5E687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（14）支持以岗位学习路径规划地图的形式查看专业关联的岗位能力，和培养当前岗位能力需要掌握的知识点</w:t>
            </w:r>
          </w:p>
          <w:p w14:paraId="2D202FA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5．任务引擎</w:t>
            </w:r>
          </w:p>
          <w:p w14:paraId="375E5CE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（1）支持完成任务设计，进行任务分组、任务点添加和管理、任务点完成条件、任务达标标准的设置。</w:t>
            </w:r>
          </w:p>
          <w:p w14:paraId="47B8748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（2）支持在任务下添加具体的资源类型，其中包含视频、文档、笔记、课程内容、作业、测验、自测、线上课堂、线下课堂、分组任务、问卷、审批、自定义。</w:t>
            </w:r>
          </w:p>
          <w:p w14:paraId="317D1D1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（3）支持新建任务，并可自定义任务名称、封面、介绍、标签，创建后进行任务设计。</w:t>
            </w:r>
          </w:p>
          <w:p w14:paraId="21F2F1F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（4）支持按任务名称查询任务，任务删除后列表不可见，可恢复已删除任务资源。</w:t>
            </w:r>
          </w:p>
          <w:p w14:paraId="2557C08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（5）支持AI生成任务，并支持按章节、教案、文本创建任务。</w:t>
            </w:r>
          </w:p>
          <w:p w14:paraId="41E11DE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（6）支持编辑任务基本信息，调整任务内容，预览任务效果，设置任务报名、达标标准及证书发放等。</w:t>
            </w:r>
          </w:p>
          <w:p w14:paraId="543F9A8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（7）支持分组维护，可编辑、删除分组信息，并设置任务完成条件。</w:t>
            </w:r>
          </w:p>
          <w:p w14:paraId="38E0F3F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（8）支持在任务下添加、管理、编辑本课或跨课课程知识点、作业、测验等资源。</w:t>
            </w:r>
          </w:p>
          <w:p w14:paraId="2DB6E38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（9）支持任务点的创建、修改、删除，并设置完成条件、任务点督学及成绩录入。</w:t>
            </w:r>
          </w:p>
          <w:p w14:paraId="2386923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（10）支持查看任务概况、学生学习情况，按任务点、任务分组、达标状态筛选任务完成情况，并支持任务点督学提醒。</w:t>
            </w:r>
          </w:p>
          <w:p w14:paraId="3A532E5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（11）支持导出任务相关数据，包括学生概况、任务点内容，提供全量、筛选、勾选等导出方式。</w:t>
            </w:r>
          </w:p>
          <w:p w14:paraId="338F28F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6．专业数据分析</w:t>
            </w:r>
          </w:p>
          <w:p w14:paraId="5F0D94F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筛选专业，并且支持查看该专业-版本毕业要求、毕业要求二级指标点、专业课程的数量，以及未设置毕业要求二级指标点的毕业要求一级指标点、未设置支撑课程的毕业要求二级指标点、未设置知识点的课程目标数量，方便校级管理员、专业负责人把握本专业建设完成度情况。</w:t>
            </w:r>
          </w:p>
          <w:p w14:paraId="5BEEC5D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（2）支持查看毕业要求指标点及课程目标重复度情况。</w:t>
            </w:r>
          </w:p>
          <w:p w14:paraId="049DA51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（3）支持专业建设的指标重复度情况，设置课程分析维度后，系统自动从学分、课程目标、知识点维度分析出达到相似度要求的课程，并呈现重合数据情况。</w:t>
            </w:r>
          </w:p>
          <w:p w14:paraId="1CE8CD5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（4）支持专业对比分析，从毕业要求、毕业要求指标点、课程、课程目标四个维度进行比对总体数量及重复个数。</w:t>
            </w:r>
          </w:p>
          <w:p w14:paraId="2F87464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（5）支持可视化大屏展示专业建设数据汇总。</w:t>
            </w:r>
          </w:p>
          <w:p w14:paraId="7C8A1E5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（6）支持可视化大屏展示专业建设进度排行。</w:t>
            </w:r>
          </w:p>
          <w:p w14:paraId="1313104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（7）支持可视化大屏方式展示专业知识资源建设情况。</w:t>
            </w:r>
          </w:p>
          <w:p w14:paraId="3FF7429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（8）支持可视化大屏方式展示专业活跃度等。</w:t>
            </w:r>
          </w:p>
          <w:p w14:paraId="3A2A631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（9）支持可视化编辑流程，拖拽式页面布局。</w:t>
            </w:r>
          </w:p>
          <w:p w14:paraId="6897F7D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（10）提供多种大屏模板，选择模板后可快速生新大屏。</w:t>
            </w:r>
          </w:p>
          <w:p w14:paraId="68F60F8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11）大屏支持添加和设置应用基础模块，包含图文列表、轮播图、多图列表、表格、文本、图片、按钮、视频、天气、日期、内嵌网页、地图、柱状图、饼图、折线图、雷达图等多种基础模块用满足绝大部分大屏内容的展现形式。</w:t>
            </w:r>
          </w:p>
          <w:p w14:paraId="786FFB1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（12）支持大屏网站内增加、修改、删除新页面。新页面包含所有的编辑功能，可拖拽式编辑的页面、建设多个新页面，并支持设置多个大屏页面的自动轮播/手动轮播方式。</w:t>
            </w:r>
          </w:p>
          <w:p w14:paraId="4E2AF7A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（13）支持将自定义组件及大屏设为模板复用。</w:t>
            </w:r>
          </w:p>
          <w:p w14:paraId="03C2ABB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w:t>
            </w:r>
            <w:r>
              <w:rPr>
                <w:rFonts w:hint="eastAsia" w:ascii="方正仿宋_GB2312" w:hAnsi="方正仿宋_GB2312" w:eastAsia="方正仿宋_GB2312" w:cs="方正仿宋_GB2312"/>
                <w:kern w:val="2"/>
                <w:sz w:val="24"/>
                <w:szCs w:val="24"/>
                <w:lang w:val="en-US" w:eastAsia="zh-Hans" w:bidi="ar-SA"/>
              </w:rPr>
              <w:t>模块数据内容支持对接标准接口规范的外部数据源。</w:t>
            </w:r>
          </w:p>
          <w:p w14:paraId="4F8A0CE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7．课程达成度分析</w:t>
            </w:r>
          </w:p>
          <w:p w14:paraId="3C35B7C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（1）支持从课程目标、学生两个维度，展示综合达成度统计、课程目标达成详情、学生成绩分布等内容。</w:t>
            </w:r>
          </w:p>
          <w:p w14:paraId="452DD5A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（2）支持按班级、专业双维度自动计算并输出达成度结果</w:t>
            </w:r>
            <w:r>
              <w:rPr>
                <w:rFonts w:hint="eastAsia" w:ascii="方正仿宋_GB2312" w:hAnsi="方正仿宋_GB2312" w:eastAsia="方正仿宋_GB2312" w:cs="方正仿宋_GB2312"/>
                <w:color w:val="auto"/>
                <w:kern w:val="2"/>
                <w:sz w:val="24"/>
                <w:szCs w:val="24"/>
                <w:lang w:val="en-US" w:eastAsia="zh-CN" w:bidi="ar-SA"/>
              </w:rPr>
              <w:t>，</w:t>
            </w:r>
            <w:r>
              <w:rPr>
                <w:rFonts w:hint="eastAsia" w:ascii="方正仿宋_GB2312" w:hAnsi="方正仿宋_GB2312" w:eastAsia="方正仿宋_GB2312" w:cs="方正仿宋_GB2312"/>
                <w:color w:val="auto"/>
                <w:kern w:val="2"/>
                <w:sz w:val="24"/>
                <w:szCs w:val="24"/>
                <w:lang w:val="en-US" w:eastAsia="zh-Hans" w:bidi="ar-SA"/>
              </w:rPr>
              <w:t>报告包含课程基本信息、课程目标、考核评价表、目标—毕业要求支撑权重表等标准内容。。</w:t>
            </w:r>
          </w:p>
          <w:p w14:paraId="236C3C8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（3）支持自动生成课程达成度分析报告，报告可自定义标题、表格、内容结构。</w:t>
            </w:r>
          </w:p>
          <w:p w14:paraId="671B458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（4）支持达成度数据导出、图表下载、历史版本对比查看。</w:t>
            </w:r>
          </w:p>
          <w:p w14:paraId="7938D0C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8．专业达成度分析</w:t>
            </w:r>
          </w:p>
          <w:p w14:paraId="376A2B0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1）支持筛选专业，并且全局查看该专业-版本毕业要求、毕业要求二级指标点、专业课程的数量，以及未设置毕业要求二级指标点的毕业要求一级指标点、未设置支撑课程的毕业要求二级指标点、未设置知识点的课程目标数量，方便校级管理员、专业负责人把握本专业建设完成度情况；</w:t>
            </w:r>
          </w:p>
          <w:p w14:paraId="690A01E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2）每个专业支持按专业维度分析：该年级-专业要求达成度目标、学生平均达成度目标、达标率；各专业点的统计表，统计表包括：各能力点达成度分布情况雷达图、各能力点达成度平均分对比柱状图、各能力点标签分布情况；</w:t>
            </w:r>
          </w:p>
          <w:p w14:paraId="2BD657A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（3）每个专业支持按毕业要求、毕业要求指标点维度分析；</w:t>
            </w:r>
          </w:p>
          <w:p w14:paraId="04561F7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4）每个专业支持按课程维度分析：各课程的每个专业能力要求点达成度，每门课程的达成度分析情况；课程目标维度数据结果，数据项包括：课程目标的学生最高达成度、最低达成度、平均达成度；可查看课程目标下学生达成度的详情；</w:t>
            </w:r>
          </w:p>
          <w:p w14:paraId="20074E6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（5）每个专业支持按人维度分析每位学生的课程目标达成度；</w:t>
            </w:r>
          </w:p>
          <w:p w14:paraId="095572C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color w:val="auto"/>
                <w:kern w:val="2"/>
                <w:sz w:val="24"/>
                <w:szCs w:val="24"/>
                <w:lang w:val="en-US" w:eastAsia="zh-Hans" w:bidi="ar-SA"/>
              </w:rPr>
            </w:pPr>
            <w:r>
              <w:rPr>
                <w:rFonts w:hint="eastAsia" w:ascii="方正仿宋_GB2312" w:hAnsi="方正仿宋_GB2312" w:eastAsia="方正仿宋_GB2312" w:cs="方正仿宋_GB2312"/>
                <w:color w:val="auto"/>
                <w:kern w:val="2"/>
                <w:sz w:val="24"/>
                <w:szCs w:val="24"/>
                <w:lang w:val="en-US" w:eastAsia="zh-Hans" w:bidi="ar-SA"/>
              </w:rPr>
              <w:t>（6）支持多专业达成结果进行对比分析，支持添加对比专业，通过专业达成度、专业毕业要求达成度等方面进行对比分析。</w:t>
            </w:r>
          </w:p>
          <w:p w14:paraId="52276BE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w:t>
            </w:r>
            <w:r>
              <w:rPr>
                <w:rFonts w:hint="eastAsia" w:ascii="方正仿宋_GB2312" w:hAnsi="方正仿宋_GB2312" w:eastAsia="方正仿宋_GB2312" w:cs="方正仿宋_GB2312"/>
                <w:kern w:val="2"/>
                <w:sz w:val="24"/>
                <w:szCs w:val="24"/>
                <w:lang w:val="en-US" w:eastAsia="zh-CN" w:bidi="ar-SA"/>
              </w:rPr>
              <w:t>专业智能体</w:t>
            </w:r>
          </w:p>
          <w:p w14:paraId="3A90F24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（1）支持整合专业下各课程的AI知识库，实现统一管理与调用，便于专业负责人高效利用知识资产。</w:t>
            </w:r>
          </w:p>
          <w:p w14:paraId="721D996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（2）支持通过AI知识库快速检索专业相关内容，满足教学、科研及实践等多样化知识使用需求。</w:t>
            </w:r>
          </w:p>
          <w:p w14:paraId="17B208D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（3）支持基于AI知识库进行知识内容的精准匹配与灵活引用，提升知识服务效率。</w:t>
            </w:r>
          </w:p>
          <w:p w14:paraId="0168A4C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（4）支持微应用智能推荐和问题联想，提升问题输入智能化体验。</w:t>
            </w:r>
          </w:p>
          <w:p w14:paraId="5B9EFD5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（5）支持专业负责人查看和管理本专业下的知识资源，提升团队协作效率与知识传承质量。</w:t>
            </w:r>
          </w:p>
          <w:p w14:paraId="2AFA760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（6）支持开启转人工设置，并可进行关键词逻辑触发配置，满足复杂问答需求。</w:t>
            </w:r>
          </w:p>
          <w:p w14:paraId="1627505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（7）支持构建专业智能体，并引用课程AI知识库，为用户提供专业问题的智能问答服务。</w:t>
            </w:r>
          </w:p>
          <w:p w14:paraId="2C1E0B7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（8）支持智能体基于AI知识库进行高效的信息检索与精准回复，响应速度快、结果准确。</w:t>
            </w:r>
          </w:p>
          <w:p w14:paraId="7457277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（9）支持前后台对话大模型切换，包含两种及以上大模型类型可选，满足不同模型策略应用。</w:t>
            </w:r>
          </w:p>
          <w:p w14:paraId="124851D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（10）提问时支持通过文字、语音输入问题，并支持上传图片、文件进行提问，文件格式支持DOC/DOCX、PDF等。</w:t>
            </w:r>
          </w:p>
          <w:p w14:paraId="39B8CE7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10．</w:t>
            </w:r>
            <w:r>
              <w:rPr>
                <w:rFonts w:hint="eastAsia" w:ascii="方正仿宋_GB2312" w:hAnsi="方正仿宋_GB2312" w:eastAsia="方正仿宋_GB2312" w:cs="方正仿宋_GB2312"/>
                <w:kern w:val="2"/>
                <w:sz w:val="24"/>
                <w:szCs w:val="24"/>
                <w:lang w:val="en-US" w:eastAsia="zh-CN" w:bidi="ar-SA"/>
              </w:rPr>
              <w:t>专业建设工作台</w:t>
            </w:r>
          </w:p>
          <w:p w14:paraId="5EF605E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支持为专业负责人提供专属工作台界面，聚焦专业全周期管理核心事项提升专业负责人信息获取效率，支持将专业建设总览、AI工作台、专业调研、专业建设、教学运行、专业达成等相关模块以集中视图形式聚合展示。</w:t>
            </w:r>
          </w:p>
          <w:p w14:paraId="470671E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（2）支持将岗位能力模型、人培方案、校本调研资料库、国家专业教学质量标准等结果在工作台中进行统一汇总查看。</w:t>
            </w:r>
          </w:p>
          <w:p w14:paraId="0850AC6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（3）支持对接已有的人才培养方案模块，实现方案修订状态与审核进度的可视化呈现。</w:t>
            </w:r>
          </w:p>
          <w:p w14:paraId="282AF94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（4）支持统一展示在线课程资源建设、教学运行、学生能力达成等数据，辅助教学运行监控。</w:t>
            </w:r>
          </w:p>
          <w:p w14:paraId="11A5EB1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（5）支持跳转链接调用已有各子系统功能模块，无需重复登录或切换系统。</w:t>
            </w:r>
          </w:p>
          <w:p w14:paraId="675570F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11．专业建设门户</w:t>
            </w:r>
          </w:p>
          <w:p w14:paraId="6E38C16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w:t>
            </w:r>
            <w:r>
              <w:rPr>
                <w:rFonts w:hint="eastAsia" w:ascii="方正仿宋_GB2312" w:hAnsi="方正仿宋_GB2312" w:eastAsia="方正仿宋_GB2312" w:cs="方正仿宋_GB2312"/>
                <w:kern w:val="2"/>
                <w:sz w:val="24"/>
                <w:szCs w:val="24"/>
                <w:lang w:val="en-US" w:eastAsia="zh-CN" w:bidi="ar-SA"/>
              </w:rPr>
              <w:t>支持在门户界面和课程知识图谱展示互相切换便于搜索相关课程。</w:t>
            </w:r>
          </w:p>
          <w:p w14:paraId="38BDE8F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w:t>
            </w:r>
            <w:r>
              <w:rPr>
                <w:rFonts w:hint="eastAsia" w:ascii="方正仿宋_GB2312" w:hAnsi="方正仿宋_GB2312" w:eastAsia="方正仿宋_GB2312" w:cs="方正仿宋_GB2312"/>
                <w:kern w:val="2"/>
                <w:sz w:val="24"/>
                <w:szCs w:val="24"/>
                <w:lang w:val="en-US" w:eastAsia="zh-CN" w:bidi="ar-SA"/>
              </w:rPr>
              <w:t>支持在门户中显示多门课程汇总展示，可展示课程数量，每个专业不少于15门。</w:t>
            </w:r>
          </w:p>
          <w:p w14:paraId="5EFC7FF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w:t>
            </w:r>
            <w:r>
              <w:rPr>
                <w:rFonts w:hint="eastAsia" w:ascii="方正仿宋_GB2312" w:hAnsi="方正仿宋_GB2312" w:eastAsia="方正仿宋_GB2312" w:cs="方正仿宋_GB2312"/>
                <w:kern w:val="2"/>
                <w:sz w:val="24"/>
                <w:szCs w:val="24"/>
                <w:lang w:val="en-US" w:eastAsia="zh-CN" w:bidi="ar-SA"/>
              </w:rPr>
              <w:t>需要能通过虚拟展厅进行专业成果展示，满足专业成果的展厅可视化。</w:t>
            </w:r>
          </w:p>
          <w:p w14:paraId="12D11C9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（4）支持展示培养体系、专业介绍、知识体系、专业图谱等内容。</w:t>
            </w:r>
          </w:p>
          <w:p w14:paraId="638A9B8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（5）支持查看当前专业基本信息，包括培养目标、毕业要求、知识点等构建的数量情况。</w:t>
            </w:r>
          </w:p>
          <w:p w14:paraId="30CEACD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（6）支持展示专业基本信息介绍，以图文形式进行呈现。</w:t>
            </w:r>
          </w:p>
          <w:p w14:paraId="69F61ED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（7）支持展示专业培养体系，包括专业下建设课程总数、公共基础课程、专业核心等课程的建设情况。</w:t>
            </w:r>
          </w:p>
          <w:p w14:paraId="077CFA0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（8）支持展示专业图谱建设情况，包括知识图谱、问题图谱、目标图谱、能力图谱等。</w:t>
            </w:r>
          </w:p>
          <w:p w14:paraId="6871396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（9）支持展示专业课程体系图谱，查看到专业各个学期开设课程情况，以及显示课程之间的先修后继关系。</w:t>
            </w:r>
          </w:p>
          <w:p w14:paraId="4D174C3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（10）可以查看专业</w:t>
            </w:r>
            <w:r>
              <w:rPr>
                <w:rFonts w:hint="eastAsia" w:ascii="方正仿宋_GB2312" w:hAnsi="方正仿宋_GB2312" w:eastAsia="方正仿宋_GB2312" w:cs="方正仿宋_GB2312"/>
                <w:kern w:val="2"/>
                <w:sz w:val="24"/>
                <w:szCs w:val="24"/>
                <w:lang w:val="en-US" w:eastAsia="zh-CN" w:bidi="ar-SA"/>
              </w:rPr>
              <w:t>知识森林，知识森林</w:t>
            </w:r>
            <w:r>
              <w:rPr>
                <w:rFonts w:hint="eastAsia" w:ascii="方正仿宋_GB2312" w:hAnsi="方正仿宋_GB2312" w:eastAsia="方正仿宋_GB2312" w:cs="方正仿宋_GB2312"/>
                <w:kern w:val="2"/>
                <w:sz w:val="24"/>
                <w:szCs w:val="24"/>
                <w:lang w:val="en-US" w:eastAsia="zh-Hans" w:bidi="ar-SA"/>
              </w:rPr>
              <w:t>下</w:t>
            </w:r>
            <w:r>
              <w:rPr>
                <w:rFonts w:hint="eastAsia" w:ascii="方正仿宋_GB2312" w:hAnsi="方正仿宋_GB2312" w:eastAsia="方正仿宋_GB2312" w:cs="方正仿宋_GB2312"/>
                <w:kern w:val="2"/>
                <w:sz w:val="24"/>
                <w:szCs w:val="24"/>
                <w:lang w:val="en-US" w:eastAsia="zh-CN" w:bidi="ar-SA"/>
              </w:rPr>
              <w:t>包含</w:t>
            </w:r>
            <w:r>
              <w:rPr>
                <w:rFonts w:hint="eastAsia" w:ascii="方正仿宋_GB2312" w:hAnsi="方正仿宋_GB2312" w:eastAsia="方正仿宋_GB2312" w:cs="方正仿宋_GB2312"/>
                <w:kern w:val="2"/>
                <w:sz w:val="24"/>
                <w:szCs w:val="24"/>
                <w:lang w:val="en-US" w:eastAsia="zh-Hans" w:bidi="ar-SA"/>
              </w:rPr>
              <w:t>所有课程的所有知识点，支持切换3d专业图谱，可以通过3d图谱形式查看专业下所有课程所有知识点以及知识点的关系</w:t>
            </w:r>
            <w:r>
              <w:rPr>
                <w:rFonts w:hint="eastAsia" w:ascii="方正仿宋_GB2312" w:hAnsi="方正仿宋_GB2312" w:eastAsia="方正仿宋_GB2312" w:cs="方正仿宋_GB2312"/>
                <w:kern w:val="2"/>
                <w:sz w:val="24"/>
                <w:szCs w:val="24"/>
                <w:lang w:val="en-US" w:eastAsia="zh-CN" w:bidi="ar-SA"/>
              </w:rPr>
              <w:t>。</w:t>
            </w:r>
          </w:p>
          <w:p w14:paraId="42EC54E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（11）支持展示特色课程等其他和该专业相关的模块。</w:t>
            </w:r>
          </w:p>
          <w:p w14:paraId="7A7F0B3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12）模块工具：门户支持添加和设置应用基础模块，包含图标列表、图文列表、轮播图、多图列表、搜索、文本列表、图表、表格、搜索列表、文本、图片、按钮、视频、搜索条、天气、日期、插件、IP、地图等多种基础模块，用以生成网站应用模块和页面，满足绝大部分网站内容的展现形式。</w:t>
            </w:r>
          </w:p>
          <w:p w14:paraId="208568F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（13）布局设置：门户支持设置全局模块，包含头部、全局轮播图、底部、飘窗、快捷入口等模块，支持隐藏或开启全局模块。</w:t>
            </w:r>
          </w:p>
          <w:p w14:paraId="696AEAB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w:t>
            </w:r>
            <w:r>
              <w:rPr>
                <w:rFonts w:hint="eastAsia" w:ascii="方正仿宋_GB2312" w:hAnsi="方正仿宋_GB2312" w:eastAsia="方正仿宋_GB2312" w:cs="方正仿宋_GB2312"/>
                <w:kern w:val="2"/>
                <w:sz w:val="24"/>
                <w:szCs w:val="24"/>
                <w:lang w:val="en-US" w:eastAsia="zh-Hans" w:bidi="ar-SA"/>
              </w:rPr>
              <w:t>编辑方式：具有可视化页面设计后台，支持拖拽式布局管理，各应用模块自由调整。</w:t>
            </w:r>
          </w:p>
        </w:tc>
      </w:tr>
      <w:tr w14:paraId="69D7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 w:type="pct"/>
            <w:shd w:val="clear" w:color="auto" w:fill="auto"/>
            <w:vAlign w:val="center"/>
          </w:tcPr>
          <w:p w14:paraId="5A1A1B7C">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kern w:val="2"/>
                <w:sz w:val="24"/>
                <w:szCs w:val="24"/>
                <w:vertAlign w:val="baseline"/>
                <w:lang w:val="en-US" w:eastAsia="zh-CN" w:bidi="ar-SA"/>
              </w:rPr>
              <w:t>4</w:t>
            </w:r>
          </w:p>
        </w:tc>
        <w:tc>
          <w:tcPr>
            <w:tcW w:w="436" w:type="pct"/>
            <w:shd w:val="clear" w:color="auto" w:fill="auto"/>
            <w:vAlign w:val="center"/>
          </w:tcPr>
          <w:p w14:paraId="2EF75703">
            <w:pPr>
              <w:snapToGrid w:val="0"/>
              <w:ind w:left="0" w:leftChars="0" w:right="0" w:rightChars="0" w:firstLine="0" w:firstLineChars="0"/>
              <w:jc w:val="center"/>
              <w:rPr>
                <w:rFonts w:hint="eastAsia" w:ascii="方正仿宋_GB2312" w:hAnsi="方正仿宋_GB2312" w:eastAsia="方正仿宋_GB2312" w:cs="方正仿宋_GB2312"/>
                <w:kern w:val="2"/>
                <w:sz w:val="24"/>
                <w:szCs w:val="24"/>
                <w:vertAlign w:val="baseline"/>
                <w:lang w:val="en-US" w:eastAsia="zh-CN" w:bidi="ar-SA"/>
              </w:rPr>
            </w:pPr>
            <w:r>
              <w:rPr>
                <w:rFonts w:hint="eastAsia" w:ascii="方正仿宋_GB2312" w:hAnsi="方正仿宋_GB2312" w:eastAsia="方正仿宋_GB2312" w:cs="方正仿宋_GB2312"/>
                <w:sz w:val="24"/>
                <w:szCs w:val="24"/>
                <w:vertAlign w:val="baseline"/>
                <w:lang w:val="en-US" w:eastAsia="zh-CN"/>
              </w:rPr>
              <w:t>通识课程资源</w:t>
            </w:r>
          </w:p>
        </w:tc>
        <w:tc>
          <w:tcPr>
            <w:tcW w:w="4365" w:type="pct"/>
            <w:shd w:val="clear" w:color="auto" w:fill="auto"/>
            <w:vAlign w:val="center"/>
          </w:tcPr>
          <w:p w14:paraId="1C2E0D7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1</w:t>
            </w:r>
            <w:r>
              <w:rPr>
                <w:rFonts w:hint="eastAsia" w:ascii="方正仿宋_GB2312" w:hAnsi="方正仿宋_GB2312" w:eastAsia="方正仿宋_GB2312" w:cs="方正仿宋_GB2312"/>
                <w:kern w:val="2"/>
                <w:sz w:val="24"/>
                <w:szCs w:val="24"/>
                <w:lang w:val="en-US" w:eastAsia="zh-Hans" w:bidi="ar-SA"/>
              </w:rPr>
              <w:t>课程资源要求</w:t>
            </w:r>
          </w:p>
          <w:p w14:paraId="7E0A05F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1.1</w:t>
            </w:r>
            <w:r>
              <w:rPr>
                <w:rFonts w:hint="eastAsia" w:ascii="方正仿宋_GB2312" w:hAnsi="方正仿宋_GB2312" w:eastAsia="方正仿宋_GB2312" w:cs="方正仿宋_GB2312"/>
                <w:kern w:val="2"/>
                <w:sz w:val="24"/>
                <w:szCs w:val="24"/>
                <w:lang w:val="en-US" w:eastAsia="zh-Hans" w:bidi="ar-SA"/>
              </w:rPr>
              <w:t>课程类型与数量</w:t>
            </w:r>
          </w:p>
          <w:p w14:paraId="74942DC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（1）课程内容需覆盖综合知识类、个人能力类、个人成长类、创新创业类、公共必修类、学业发展类、开学教育类等7个类型，总量不少于650门。各类别具体要求如下。</w:t>
            </w:r>
          </w:p>
          <w:p w14:paraId="080976F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（2）综合知识类：以知识性内容讲授为主，包含中外历史、中西哲学、中外文学艺术、科学技术、经济管理与社会、国学等内容。总量不少于450门。</w:t>
            </w:r>
          </w:p>
          <w:p w14:paraId="72A64B5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（3）个人能力类：以个人技能能力培养为主，包含自我管理能力、思维模式建立、人际沟通表达、团队组织管理、信息素养与外语、职业规划发展等内容。总量不少于65门。</w:t>
            </w:r>
          </w:p>
          <w:p w14:paraId="1156291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（4）个人成长类：以大学生的身心健康发展为导向,包含安全意识、生理健康、心理健康、职业规划、公民素质等领域。总量不少于30门。</w:t>
            </w:r>
          </w:p>
          <w:p w14:paraId="54FC571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（5）创新创业类：紧扣国家政策，围绕提高大学生创新创业实战能力的目标，构建包括必修和选修、基础和进阶、理论与实战的创新创业课程体系。总量不少于25门。</w:t>
            </w:r>
          </w:p>
          <w:p w14:paraId="4E654E8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（6）公共必修类：收录高校需要开设的必修科目,如公共基础课、军事理论、国家安全、劳动教育等。总量不少于50门。</w:t>
            </w:r>
          </w:p>
          <w:p w14:paraId="7A53B35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（7）学业发展类：帮助新生了解本专业主要学习内容、就业发展方向等；满足毕业生完成考研、考公、专升本等考试的基础知识学习需求。总量不少于30门。</w:t>
            </w:r>
          </w:p>
          <w:p w14:paraId="7DFCD06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（8）开学教育类：以每学期开学前后一段时间内的热点问题、学生在大学阶段应该培养的态度与方法为主题，以讲座的形式开展教学。至少提供1门，课程应每学期更新。</w:t>
            </w:r>
          </w:p>
          <w:p w14:paraId="76451CC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1.2</w:t>
            </w:r>
            <w:r>
              <w:rPr>
                <w:rFonts w:hint="eastAsia" w:ascii="方正仿宋_GB2312" w:hAnsi="方正仿宋_GB2312" w:eastAsia="方正仿宋_GB2312" w:cs="方正仿宋_GB2312"/>
                <w:kern w:val="2"/>
                <w:sz w:val="24"/>
                <w:szCs w:val="24"/>
                <w:lang w:val="en-US" w:eastAsia="zh-Hans" w:bidi="ar-SA"/>
              </w:rPr>
              <w:t>重点课程类型要求</w:t>
            </w:r>
          </w:p>
          <w:p w14:paraId="5E95D13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▲（1）公共必修类课程中应包含美育课程，覆盖中共中央办公厅、国务院办公厅《关于全面加强和改进新时代学校美育工作的意见》中规定的音乐、美术、书法、舞蹈、戏剧、戏曲、影视等7个主题的相关课程。</w:t>
            </w:r>
          </w:p>
          <w:p w14:paraId="3560F08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▲（2）公共必修类课程中应包含劳动教育课程，其中至少有2门课程的师资来自中华全国总工会或相关下属机构，以劳动知识、劳模精神、工匠精神为主。总量不少于5门。课单中需体现教师工作单位信息。</w:t>
            </w:r>
          </w:p>
          <w:p w14:paraId="7725841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公共必修类课程中应包含军事理论与军事技能训练课程，需至少2门课程，分别对应教育部教体艺〔2019〕1号《普通高等学校军事课教学大纲》所有军事理论部分（文件第六条）内容与军事技能训练部分（文件第七条）内容。需提供课程大纲与教育部文件要求对比内容。</w:t>
            </w:r>
          </w:p>
          <w:p w14:paraId="780F414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公共必修类课程中应包含国家安全教育课程，课程内容应覆盖国家规定的《国家安全教育大学生读本》（ISBN：978-7-04-061740-5）所有内容，课程包含视频不少于600分钟，开课单位应为军队、公安、武警等类型高校。</w:t>
            </w:r>
          </w:p>
          <w:p w14:paraId="09FFA06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（5）经典导读类课程，覆盖哲学、历史、文学、社会、科学、国学各领域经典。每门课程应针对1本著作进行深入解读，避免泛化的多本书籍介绍内容。总量不少于25门。</w:t>
            </w:r>
          </w:p>
          <w:p w14:paraId="0BC79BC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（6）人工智能类课程，包含人工智能导论、AIGC基础与应用、大数据、机器学习等，涵盖人工智能基础知识、技术与技能应用、人工智能伦理等各层面的内容。总数不少于60门。</w:t>
            </w:r>
          </w:p>
          <w:p w14:paraId="6AA2EDD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1.3</w:t>
            </w:r>
            <w:r>
              <w:rPr>
                <w:rFonts w:hint="eastAsia" w:ascii="方正仿宋_GB2312" w:hAnsi="方正仿宋_GB2312" w:eastAsia="方正仿宋_GB2312" w:cs="方正仿宋_GB2312"/>
                <w:kern w:val="2"/>
                <w:sz w:val="24"/>
                <w:szCs w:val="24"/>
                <w:lang w:val="en-US" w:eastAsia="zh-Hans" w:bidi="ar-SA"/>
              </w:rPr>
              <w:t>课程配套资料要求</w:t>
            </w:r>
          </w:p>
          <w:p w14:paraId="1924521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▲（1）综合知识类、个人能力类、个人成长类、创新创业类、公共必修类等主要用于开设学分课的课程中，每门课应当至少包含400分钟的视频。</w:t>
            </w:r>
          </w:p>
          <w:p w14:paraId="16A1A5E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综合知识类、个人能力类、个人成长类、创新创业类、公共必修类等主要用于开设学分课的课程中，每门课程需提供独立的拓展阅读功能模块，不得作为课程章节中插入的资料、文本形式提供。提供的阅读资源应包含片段阅读和全本阅读两种类型。课程主题不同时，应提供不同主题的阅读资源，每个主题下再根据具体内容细分为若干二级分类。</w:t>
            </w:r>
          </w:p>
          <w:p w14:paraId="159C437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综合知识类、个人能力类、个人成长类、创新创业类、公共必修类课程中，题库应包括单选题、多选题、判断题、填空题、简答题等五种题型。课程视频数量多于20个的，每门课程配套题库题目数量应不少于100道。教育主管部门相关政策另有规定时以具体规定为准。如课程内容不适合出简答、填空等主观题的，可以暂不设置，但此类课程占总课程数量不得超过2%，此类课程题库总量不做要求。</w:t>
            </w:r>
          </w:p>
          <w:p w14:paraId="37E7B84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综合知识类、个人能力类、个人成长类、创新创业类、公共必修类等主要用于开设学分课的课程中，需提供难、中、易三种难度期末试卷供用户选择。难度为“易”的试卷需包括单选题、多选题、判断题三种题型；难度为“中”的试卷需包括单选题、多选题、判断题、填空题四种题型；难度为“难”的试卷需包括单选题、多选题、判断题、填空题、简答题。教育主管部门相关政策另有规定时以具体规定为准。如课程内容不适合出简答、填空等主观题的，可以暂不设置，但此类课程占总课程数量不得超过2%。</w:t>
            </w:r>
          </w:p>
          <w:p w14:paraId="43EB2CD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供应商应选择重点课程出版配套教材，出版教材数量不少于5册。图书中应显示供应商名称等，证明供应商参与图书出版工作。供应商需提供相关教材信息，如教材名称、作者（主编）、书号、出版社、匹配的课程等，供学校后续采购教材时参考选用；供应商需提供出版社或网络书店销售链接，及图书照片，证明图书出版与供应商参与情况。</w:t>
            </w:r>
          </w:p>
          <w:p w14:paraId="755D771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辅学资源：综合知识类、个人能力类、个人成长类、创新创业类、公共必修类课程需另外提供包含与本门课程相关的图书，以丰富学生的课外学习。每门课相关电子版参考图书至少10册，放在课程首页上供学生查看。所有图书需要可以直接阅读全文。</w:t>
            </w:r>
          </w:p>
          <w:p w14:paraId="2B5CB59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开学教育要求内容每学期更新。课程以直播形式开展，每次直播只讲授一个主题，时长不少于40分钟。直播视频中应体现“开学教育”“开学第一课”或类似的意思表述画面，直播需要可以查看学生评论发言时间用于证明直播时间。供应商需准备3个往期的直播链接备查。</w:t>
            </w:r>
          </w:p>
          <w:p w14:paraId="68859EF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大学生心理健康教育、劳动教育、创新创业基础、大学生健康教育、军事理论、大学生恋爱与性健康、大学生职业发展与就业指导、大学生国家安全教育、工程伦理、垃圾分类等10个公共必修性质的课程，需提供混合式教学资料包，其中包含完整的教学视频、配套习题、教学PPT、校本教师提升培训视频等内容。PPT内容应符合教育部等主管部门公布的课程大纲要求，主管部门未公布课程大纲的，可参考相关领域权威高校课程内容。校本教师提升培训视频应由至少一名一线教师主讲或策划，结合具体课程内容，对观看者进行课程内容、课程设计等方面的引导。培训视频内容应针对一门课程内容进行开发，非通用教学理论或技能。</w:t>
            </w:r>
          </w:p>
          <w:p w14:paraId="272A314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1.4</w:t>
            </w:r>
            <w:r>
              <w:rPr>
                <w:rFonts w:hint="eastAsia" w:ascii="方正仿宋_GB2312" w:hAnsi="方正仿宋_GB2312" w:eastAsia="方正仿宋_GB2312" w:cs="方正仿宋_GB2312"/>
                <w:kern w:val="2"/>
                <w:sz w:val="24"/>
                <w:szCs w:val="24"/>
                <w:lang w:val="en-US" w:eastAsia="zh-Hans" w:bidi="ar-SA"/>
              </w:rPr>
              <w:t>课程其他要求</w:t>
            </w:r>
          </w:p>
          <w:p w14:paraId="4EDF47E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所有备选课程中，70%以上课程的教师团队应至少包含一名来自双一流高校、中国科学院、中国工程院、中国社会科学院等机构的教师。70%以上课程的教师团队应至少包含一名教授或同级别职称教师。需提供详细教师、对应职称、工作单位信息清单备查。</w:t>
            </w:r>
          </w:p>
          <w:p w14:paraId="6A2EB1A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（2）课程清单：采购方每次选课时，供应商需提供包含所有备选课程的课程清单、课程简介列表、课程大纲。</w:t>
            </w:r>
          </w:p>
          <w:p w14:paraId="1ECCB5B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为确保课程相关权益划分清晰、避免影响正常教学使用，供应商应提供具有版权的课程或明确具有商业运营权的课程供采购方使用。供应商未获得版权或商业运营权的课程资源，不得用于本次采购投标。供应商需提供投标课程的主讲教师授权协议10份作为样本，或提供版权问题承诺书。</w:t>
            </w:r>
          </w:p>
          <w:p w14:paraId="6A9F368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供应商应对提供的课程内容进行全面审核，确保课程中不出现意识形态问题。供应商为资源审核第一责任方，应确保所有内容已经按照国家相关法律法规要求审核完毕。供应商需出具审核责任及结果承诺书。</w:t>
            </w:r>
          </w:p>
          <w:p w14:paraId="1D6B9A0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2</w:t>
            </w:r>
            <w:r>
              <w:rPr>
                <w:rFonts w:hint="eastAsia" w:ascii="方正仿宋_GB2312" w:hAnsi="方正仿宋_GB2312" w:eastAsia="方正仿宋_GB2312" w:cs="方正仿宋_GB2312"/>
                <w:kern w:val="2"/>
                <w:sz w:val="24"/>
                <w:szCs w:val="24"/>
                <w:lang w:val="en-US" w:eastAsia="zh-Hans" w:bidi="ar-SA"/>
              </w:rPr>
              <w:t>平台技术要求</w:t>
            </w:r>
          </w:p>
          <w:p w14:paraId="1CAB433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2.1</w:t>
            </w:r>
            <w:r>
              <w:rPr>
                <w:rFonts w:hint="eastAsia" w:ascii="方正仿宋_GB2312" w:hAnsi="方正仿宋_GB2312" w:eastAsia="方正仿宋_GB2312" w:cs="方正仿宋_GB2312"/>
                <w:kern w:val="2"/>
                <w:sz w:val="24"/>
                <w:szCs w:val="24"/>
                <w:lang w:val="en-US" w:eastAsia="zh-Hans" w:bidi="ar-SA"/>
              </w:rPr>
              <w:t>课程教学功能</w:t>
            </w:r>
          </w:p>
          <w:p w14:paraId="36B478E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系统支持设置管理员、教师、学生三个用户角色并赋予不同用户权限：管理员可以添加、编辑、锁定、删除二级管理员、教师和学生账号；可以模拟教师和学生登录；教师可以在课程下添加和删除学生，后台数据同步更新。</w:t>
            </w:r>
          </w:p>
          <w:p w14:paraId="3E046B2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根据用户需求，教学平台应支持批量导入和直接选课两种模式。批量导入时，教务处根据学生在教务系统选课情况生成选课清单，由供应商导入学习系统中。直接选课时，学校可以根据需要限定每人选课门数、学分数上限以及每门课程选课人数上限；支持学生选课前试听课程；教师可设置是否自主选课，是否允许退选。</w:t>
            </w:r>
          </w:p>
          <w:p w14:paraId="28CE6D0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（3）平台支持学生信息数据的统一导入与学习成绩的统一导出，提供数据模板。</w:t>
            </w:r>
          </w:p>
          <w:p w14:paraId="08D2025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考核维度要求能根据学校需要统一设置，也能根据不同课程分别设置。可设置的权重项应包含但不限于签到、音频/视频、作业、考试、阅读、直播、登录（访问）、线下成绩等维度。考核维度所占权重支持用户自定义设置，支持在整个学习流程中随时修改。其中，直播支持实时直播及回看功能，观看时长可来自实时直播或回看；阅读时将以正常翻页频率阅读的材料所消耗的时间记为学生的阅读时长。</w:t>
            </w:r>
          </w:p>
          <w:p w14:paraId="316F2A1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（5）采用多种手段对某一课程的教学效果进行在线实时统计，对班级成绩进行统计分析，对教师、学生行为进行统计分析，支持表单和图表样式显示结果，可以导出统计结果。</w:t>
            </w:r>
          </w:p>
          <w:p w14:paraId="25D862E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（6）系统支持网页端、APP端学习。APP端需支持iOS、安卓、鸿蒙系统，实现在线移动教学功能。APP端与PC端学习进度、学习数据、教学管控功能保持一致，教师可以对课程和学生进行统一管理。</w:t>
            </w:r>
          </w:p>
          <w:p w14:paraId="370D3CB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▲（7）电脑端学习空间、APP端首页可集成供应商及第三方个性化信息与应用。学校可根据本校需要配置首页展示的应用及个人空间中的应用。</w:t>
            </w:r>
          </w:p>
          <w:p w14:paraId="74FA42C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（8）支持云盘功能，可以将文件上传至云盘中，随时随地进行下载，并可以在课程建设时引用云盘的资源。</w:t>
            </w:r>
          </w:p>
          <w:p w14:paraId="7861959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（9）课程视频需支持开启或关闭闯关式教学。开启状态下，学生必须完成当前任务后方可进入下一章节，在取消闯关模式后学生可自由进行学习。</w:t>
            </w:r>
          </w:p>
          <w:p w14:paraId="2BB442E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（10）课程章节测验应支持高级设置功能，允许用户自主决定是否允许学生提交作业后查看答案、查看分数、查看对错情况，支持将题目设置为随机乱序，支持从指定题库中抽选特定数量题目要求学生作答。</w:t>
            </w:r>
          </w:p>
          <w:p w14:paraId="4D1E50F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（11）拓展阅读功能模块，允许教师对阅读资源进行自定义分类、自主添加或删除阅读资源。自主添加的阅读资源考核办法应与系统默认资源考核办法一致。</w:t>
            </w:r>
          </w:p>
          <w:p w14:paraId="482AFB9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12）平台支持在线学习监控功能。进入课程时要求学生拍照留存本次学习人员图像。视频观看过程中，按照预先设置开启摄像头并抓拍学习者图像。所有图像储存于系统后台，用于教师及校方调取图片确认是否为学生本人学习。系统可支持辅助判定功能，在教师或校方允许的情况下对比不同时间抓拍图像，并给出相似度分析，辅助提升判断效率。</w:t>
            </w:r>
          </w:p>
          <w:p w14:paraId="2F207CE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（13）学生在线学习课程时需支持进度记忆，支持防止拖拽、禁止倍速观看，支持当前活动窗口探测、防止观看课程时进行其他活动。系统支持取消防拖拽、禁止倍速、当前窗口探测等功能。</w:t>
            </w:r>
          </w:p>
          <w:p w14:paraId="4D74008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（14）支持课程视频中插入考题，学生必需回答正确才可继续观看，否则视频暂停播放。</w:t>
            </w:r>
          </w:p>
          <w:p w14:paraId="1C0C3E3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▲（15）考试过程中提供考试纪律监控相关技术支持，包括通过人像比对确保考生本人考试、通过摄像头抓拍实现过程监控、对学生切出考试页面进行提醒、题目及选项乱序等。</w:t>
            </w:r>
          </w:p>
          <w:p w14:paraId="2FA21C7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▲（16）系统应每天定时对学生学习数据进行复核，发现学生学习记录存在异常后，系统应自动回滚学生学习数据，要求学生重新学习相应任务点，无需管理员手动处理。</w:t>
            </w:r>
          </w:p>
          <w:p w14:paraId="7EFB2D9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2.2</w:t>
            </w:r>
            <w:r>
              <w:rPr>
                <w:rFonts w:hint="eastAsia" w:ascii="方正仿宋_GB2312" w:hAnsi="方正仿宋_GB2312" w:eastAsia="方正仿宋_GB2312" w:cs="方正仿宋_GB2312"/>
                <w:kern w:val="2"/>
                <w:sz w:val="24"/>
                <w:szCs w:val="24"/>
                <w:lang w:val="en-US" w:eastAsia="zh-Hans" w:bidi="ar-SA"/>
              </w:rPr>
              <w:t>通识素养测评</w:t>
            </w:r>
          </w:p>
          <w:p w14:paraId="5680D11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（1）测评体系应覆盖文学艺术类、历史文化类、哲学思想类、经管社会类、国学知识类、科学技术类等六个类别。</w:t>
            </w:r>
          </w:p>
          <w:p w14:paraId="73FEC7F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（2）系统提供难、中、易三组试卷，由用户自主选择发放试卷的组别。每组试卷包含20套试卷，学生随机从中抽取1套试卷作答。允许多次作答时，每次作答时重新抽取试卷。</w:t>
            </w:r>
          </w:p>
          <w:p w14:paraId="321E5F6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用于组卷的测评题库不少于1000道单选题，包含文字题、图片题、音频题三个类型。其中测评体系中各门类不少于150道。每道题目必须包含题目答案解析，能够明确解释题目考核相关知识点。需提供具体题目清单备查。</w:t>
            </w:r>
          </w:p>
          <w:p w14:paraId="470DA92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（4）测评功能应和课程学习功能整合在同一个APP内。测评首页上应包含测评入口及个人数据查看入口。</w:t>
            </w:r>
          </w:p>
          <w:p w14:paraId="2C95C34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▲（5）测评完成后，需允许学生在线查看个人测评报告。报告中需要包括测评内容体系各门类的详细分数、成绩评价、全校对比情况、各模块变动趋势分析，要能够回看学生历次测评结果。</w:t>
            </w:r>
          </w:p>
          <w:p w14:paraId="1156CC1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推荐：测评完成后，必须在成绩分析页面推荐相关学习资料，帮助学生提高通识素养水平。要求推荐不少于6门相关课程及6本相关图书。学生应能够直接在测评系统内试看推荐的课程及图书。推荐的相关图书应能够直接阅读全文。</w:t>
            </w:r>
          </w:p>
          <w:p w14:paraId="4A79E39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学校测评报告：测评结束后，需向学校提供详尽完整的《通识素养提升解决方案》。该解决方案需要分年级、学院、内容体系维度等方面对学生数据进行分析，并且针对学校的开课清单、通识资源建设、教学改革方面提出合理化建议。</w:t>
            </w:r>
          </w:p>
          <w:p w14:paraId="05D451F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（8）测评应提供本校专用的后台功能模块配置在课程平台的管理后台中。后台具体功能应包含题库管理、组卷与发放、测评情况管理、参与数据分析查询、成绩数据导出等功能。</w:t>
            </w:r>
          </w:p>
          <w:p w14:paraId="3AE81F1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（9）后台数据导出功能需支持导出学生每次测评的提交时间、最终成绩、每道题目的答题情况等详细数据。</w:t>
            </w:r>
          </w:p>
          <w:p w14:paraId="668EFD8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2.3</w:t>
            </w:r>
            <w:r>
              <w:rPr>
                <w:rFonts w:hint="eastAsia" w:ascii="方正仿宋_GB2312" w:hAnsi="方正仿宋_GB2312" w:eastAsia="方正仿宋_GB2312" w:cs="方正仿宋_GB2312"/>
                <w:kern w:val="2"/>
                <w:sz w:val="24"/>
                <w:szCs w:val="24"/>
                <w:lang w:val="en-US" w:eastAsia="zh-Hans" w:bidi="ar-SA"/>
              </w:rPr>
              <w:t>积分式学习课程</w:t>
            </w:r>
          </w:p>
          <w:p w14:paraId="5F09F50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（1）为了满足学生个性化发展需要，综合知识类、个人能力类、个人成长类、创新创业类、公共必修类课程，每个分类应至少提供2门积分式学习类课程。</w:t>
            </w:r>
          </w:p>
          <w:p w14:paraId="080CC93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积分式学习类课程应至少包含视频、测验题、阅读材料等三类学习资源。每个主题课程中知识点数量不低于180个，其中包含不少于150个视频、300道测验题，20个阅读材料。每门课视频累计时长不少于2000分钟，所有测验题应为客观题。</w:t>
            </w:r>
          </w:p>
          <w:p w14:paraId="2FD3A24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（3）积分式学习类课程可以考核以下所有操作行为：登录、视频观看时长、阅读时长、测验题、讨论、学习笔记、线下活动。</w:t>
            </w:r>
          </w:p>
          <w:p w14:paraId="003ED86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积分式学习类课程中，日常学习考核以积分制模式进行。学生从课程内的知识点中任意选择知识点进行学习，学生在系统内发生学习行为时，系统可以根据校方预先设置的分数值，自动记录其行为对应的分数。</w:t>
            </w:r>
          </w:p>
          <w:p w14:paraId="0FC0EE9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▲（5）积分式学习类课程中，支持在专用后台设置总积分、视频观看时长总积分、阅读时长总积分、测验题答题总积分的最低值，以及每日获得总积分、笔记每日积分、讨论每日积分的最大值。</w:t>
            </w:r>
          </w:p>
          <w:p w14:paraId="6E64E52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积分式学习类课程中，用户可自主选择是否设置期末考试。期末考试采取百分制形式，根据预先选定的知识点随机组卷进行考核。考核后分数与日常积分综合汇算为学生最终成绩。若不设置期末考试，积分达到预设条件后即可视为课程通过。学校可设置是否要求学生积分达标才能参加考试。</w:t>
            </w:r>
          </w:p>
          <w:p w14:paraId="675F841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积分式学习类课程中，需支持搜索知识点功能，允许学生根据自身需求对知识点进行搜索，也可查看预先设置的推荐知识点、必学知识点。教师可根据实际教学需求，将特定知识点设置为推荐知识点或必学知识点，引导学生学习。</w:t>
            </w:r>
          </w:p>
          <w:p w14:paraId="7A55D3F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积分式学习类课程中，当日积分、累积积分情况需允许学生在课程首页随时查看。支持学生在对应页面查看积分规则、各分项积分。支持学生查看个人学习记录，包括该次学习记录对应的知识点名称、学习时间、学习进度，方便学生随时继续学习或进行复习。</w:t>
            </w:r>
          </w:p>
          <w:p w14:paraId="67E4D0E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（9）积分式学习类课程中，学习完一个知识点后，系统应根据学生所学知识点内容，推荐2个以上相关知识点供学生选择学习。</w:t>
            </w:r>
          </w:p>
          <w:p w14:paraId="271781B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2.4</w:t>
            </w:r>
            <w:r>
              <w:rPr>
                <w:rFonts w:hint="eastAsia" w:ascii="方正仿宋_GB2312" w:hAnsi="方正仿宋_GB2312" w:eastAsia="方正仿宋_GB2312" w:cs="方正仿宋_GB2312"/>
                <w:kern w:val="2"/>
                <w:sz w:val="24"/>
                <w:szCs w:val="24"/>
                <w:lang w:val="en-US" w:eastAsia="zh-Hans" w:bidi="ar-SA"/>
              </w:rPr>
              <w:t>人工智能实验功能要求</w:t>
            </w:r>
          </w:p>
          <w:p w14:paraId="439642B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至少提供5门配置了人工智能实验的课程，所有课程中合计提供的实验数量不少于30个。实验内容应覆盖云计算、大模型、AIGC等主题。实验主题应相对通识，避免聚焦于个别细分领域，避免学生习得技能后缺少应用场景。</w:t>
            </w:r>
          </w:p>
          <w:p w14:paraId="0C6F889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（2）为了确保教学效果，每个实验正常操作时长应不少于30分钟。</w:t>
            </w:r>
          </w:p>
          <w:p w14:paraId="2624948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（3）平台提供实验操作功能。操作界面应采用分屏的形式，左侧为实验手册，右侧为实操界面。</w:t>
            </w:r>
          </w:p>
          <w:p w14:paraId="3565C46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（4）实验手册应采用图文配合的形式，对实验整个操作流程进行指导，并对重点环节进行补充讲解。</w:t>
            </w:r>
          </w:p>
          <w:p w14:paraId="1865C3C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（5）平台应提供实验所需的数据，如实验用的资料、数据集等。平台应支持学生通过实验手册页面下载，无需到其他页面下载或自行准备。</w:t>
            </w:r>
          </w:p>
          <w:p w14:paraId="5BCF402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（6）系统应支持对学生操作流程进行监控，从而评估学生实验完成情况。</w:t>
            </w:r>
          </w:p>
          <w:p w14:paraId="542B44E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（7）实验完成数量可作为权重纳入课程成绩考核。教师可在权重设置页面设置学生需要完成的实验数量，以及权重对应占比。</w:t>
            </w:r>
          </w:p>
          <w:p w14:paraId="4D9F6B1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（8）实训平台可基于电脑端网页运行，无需安装额外的软件。</w:t>
            </w:r>
          </w:p>
          <w:p w14:paraId="225ECD9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（9）项目费用应包含学生完成相关实验所需的基础算力，无需采购方采购额外的服务器等算力相关软硬件设备或支付额外费用。</w:t>
            </w:r>
          </w:p>
          <w:p w14:paraId="5DC2D7C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2.5</w:t>
            </w:r>
            <w:r>
              <w:rPr>
                <w:rFonts w:hint="eastAsia" w:ascii="方正仿宋_GB2312" w:hAnsi="方正仿宋_GB2312" w:eastAsia="方正仿宋_GB2312" w:cs="方正仿宋_GB2312"/>
                <w:kern w:val="2"/>
                <w:sz w:val="24"/>
                <w:szCs w:val="24"/>
                <w:lang w:val="en-US" w:eastAsia="zh-Hans" w:bidi="ar-SA"/>
              </w:rPr>
              <w:t>平台校本应用要求</w:t>
            </w:r>
          </w:p>
          <w:p w14:paraId="3D41BFD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供应商应提供校本化的通识教育电脑端门户网页，用于展示本校通识资源与教研成果，师生可在该页面登录系统并进行学习。门户应为本校通识教育相关工作专用的域名，不得与本校专业课课程平台共用同一域名或页面。门户提供通用模板选择，可快速复制搭建门户；也支持用户自由调整字体、字号、配图、版式等细节。</w:t>
            </w:r>
          </w:p>
          <w:p w14:paraId="441B4BF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各站点数据支持独立存储、独立维护，保障各学校站点之间互不冲突。所有数据实时备份，保障数据安全。课程教学过程中产生的师生个人信息、选课数据、教学数据均为我校所有，供应商未经授权不得以任何形式分享给第三方，所有数据未经授权不得以任何形式体现在第三方账号或平台。供应商需提供包含相关信息的运行服务承诺书。</w:t>
            </w:r>
          </w:p>
          <w:p w14:paraId="6D7D504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在任何运行模式下，管理员、教师均应有权自主设置本校课程开课、结课时间。开课后仍可以根据实际需求变化随时修改。供应商不得规定统一的教学计划安排。供应商提供的所有课程资源，均支持我校按需合并、删减、修改并在服务期内按需使用。每门课程支持在服务期内多次开课。供应商需提供包含相关信息的运行服务承诺书。</w:t>
            </w:r>
          </w:p>
          <w:p w14:paraId="4CA3C0A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支持混合式教学，APP端或电脑端需提供的教学工具包括以下所有功能：投票、选人、抢答、讨论、测验、问卷、评分、分组任务、计时器、直播、白板。支持通过APP端投屏功能把课程相关图片、视频资源直接在投屏上展示。主题讨论支持学生添加图片、支持学生答案投屏显示、支持对学生答案进行语义分析并提取关键词在屏幕上以词云形式展现结果。</w:t>
            </w:r>
          </w:p>
          <w:p w14:paraId="0ECD0B9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（5）允许教师发放签到，统计上课学生数。签到需包含普通签到、位置签到、手势签到、二维码签到等4种签到模式。</w:t>
            </w:r>
          </w:p>
          <w:p w14:paraId="7B3721C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（6）课程需支持教师自主出题并批量上传至课程题库，支持批量下载。教师在编辑课程内容时可直接调取题库内容。</w:t>
            </w:r>
          </w:p>
          <w:p w14:paraId="2CBFE47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7）通识素养测评系统支持用户根据实际需求自建测评。用户可在管理后台通过相应模块创建题库、试卷。创建测评题库时，支持用户自定义测评内容维度、题库内容。创建测评试卷时，可自定义抽取题目数量、抽取题目难易度配比、答题时间。</w:t>
            </w:r>
          </w:p>
          <w:p w14:paraId="4A95AF9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（8）通识素养测评系统如自定义了测评维度，学生测评报告页面应显示自定义后的维度；校方测评报告中的维度分析也应基于自定义维度开展。</w:t>
            </w:r>
          </w:p>
          <w:p w14:paraId="79546B5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9）混合式教学资料包应提供相应页面，方便教师集中预览10门课程分别包含的视频、题库、教学PPT、校本教师提升培训视频，并能够以课程为单位一键将所有资料引用到个人账号下，用于进行个性化修改及混合式教学。</w:t>
            </w:r>
          </w:p>
          <w:p w14:paraId="6180C35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3</w:t>
            </w:r>
            <w:r>
              <w:rPr>
                <w:rFonts w:hint="eastAsia" w:ascii="方正仿宋_GB2312" w:hAnsi="方正仿宋_GB2312" w:eastAsia="方正仿宋_GB2312" w:cs="方正仿宋_GB2312"/>
                <w:kern w:val="2"/>
                <w:sz w:val="24"/>
                <w:szCs w:val="24"/>
                <w:lang w:val="en-US" w:eastAsia="zh-Hans" w:bidi="ar-SA"/>
              </w:rPr>
              <w:t>运行服务要求</w:t>
            </w:r>
          </w:p>
          <w:p w14:paraId="4DFF9A7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3.1</w:t>
            </w:r>
            <w:r>
              <w:rPr>
                <w:rFonts w:hint="eastAsia" w:ascii="方正仿宋_GB2312" w:hAnsi="方正仿宋_GB2312" w:eastAsia="方正仿宋_GB2312" w:cs="方正仿宋_GB2312"/>
                <w:kern w:val="2"/>
                <w:sz w:val="24"/>
                <w:szCs w:val="24"/>
                <w:lang w:val="en-US" w:eastAsia="zh-Hans" w:bidi="ar-SA"/>
              </w:rPr>
              <w:t>技术服务支持</w:t>
            </w:r>
          </w:p>
          <w:p w14:paraId="708E46D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（1）具备保障本校校内10000人同时在线学习的运营服务能力。供应商需提供包含相关信息的运行服务承诺书。</w:t>
            </w:r>
          </w:p>
          <w:p w14:paraId="388448B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（2）支持云服务、混合部署等部署方式，确保视频访问时提供校园网与公网切换服务：平台远程访问、视频数据本地安装、公网访问。供应商需提供包含相关信息的运行服务承诺书。</w:t>
            </w:r>
          </w:p>
          <w:p w14:paraId="6717961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（3）供应商需提供软件系统更新维护服务。供应商需提供包含相关信息的运行服务承诺书。</w:t>
            </w:r>
          </w:p>
          <w:p w14:paraId="1A227A5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▲（4）提供学生学习进度监控、课程访问统计分析、学习诚信监控，可根据学校需求提供教学运行数据和学习数据异常名单。供应商需提供包含相关信息的运行服务承诺书。</w:t>
            </w:r>
          </w:p>
          <w:p w14:paraId="78159AE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CN" w:bidi="ar-SA"/>
              </w:rPr>
              <w:t>3.2</w:t>
            </w:r>
            <w:r>
              <w:rPr>
                <w:rFonts w:hint="eastAsia" w:ascii="方正仿宋_GB2312" w:hAnsi="方正仿宋_GB2312" w:eastAsia="方正仿宋_GB2312" w:cs="方正仿宋_GB2312"/>
                <w:kern w:val="2"/>
                <w:sz w:val="24"/>
                <w:szCs w:val="24"/>
                <w:lang w:val="en-US" w:eastAsia="zh-Hans" w:bidi="ar-SA"/>
              </w:rPr>
              <w:t>人员服务支持</w:t>
            </w:r>
          </w:p>
          <w:p w14:paraId="7D13D85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（1）供应商提供教学和教务全程服务，包括开课/结课的所有数据运行服务，学生信息、学习成绩及学分的导入/导出等。供应商需提供包含相关信息的运行服务承诺书。</w:t>
            </w:r>
          </w:p>
          <w:p w14:paraId="6758F08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（2）结课后提供针对学校的课程运行报告，不得另外收费。报告需包含数据展示部分及数据分析部分，能够展示数据对应含义。</w:t>
            </w:r>
          </w:p>
          <w:p w14:paraId="775B31A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3）可以为用户开展通识教育相关活动提供师资、活动方案、人力支持。供应商需提供辅助其他高校开展名师讲座类、知识竞赛类活动的新闻报导网址或公众号链接各3场。网址或公众号应为其他高校官方网站或公众号。</w:t>
            </w:r>
          </w:p>
          <w:p w14:paraId="3589926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（4）提供在线客服、电话客服、邮箱客服解决学生、管理员、辅导老师使用问题；学生学习的导学、督学服务。</w:t>
            </w:r>
          </w:p>
          <w:p w14:paraId="73DE036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（5）为了保障产品正常运行，有效保障产品咨询、运行辅助、资源开发等通识课相关服务顺利开展，供应商应在学校所属省（市、自治区）建设有本地化服务团队，团队规模不少于30人。</w:t>
            </w:r>
          </w:p>
          <w:p w14:paraId="5DA3210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Hans" w:bidi="ar-SA"/>
              </w:rPr>
            </w:pPr>
            <w:r>
              <w:rPr>
                <w:rFonts w:hint="eastAsia" w:ascii="方正仿宋_GB2312" w:hAnsi="方正仿宋_GB2312" w:eastAsia="方正仿宋_GB2312" w:cs="方正仿宋_GB2312"/>
                <w:kern w:val="2"/>
                <w:sz w:val="24"/>
                <w:szCs w:val="24"/>
                <w:lang w:val="en-US" w:eastAsia="zh-Hans" w:bidi="ar-SA"/>
              </w:rPr>
              <w:t>（6）供应商应提供上门用户培训服务，且时间、地点、规模由学校制定，每学年承诺培训不少于2次；供应商应免费提供操作手册、常见问题列表和操作视频等参考资料。</w:t>
            </w:r>
          </w:p>
          <w:p w14:paraId="1D85F54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Hans" w:bidi="ar-SA"/>
              </w:rPr>
              <w:t>（7）如本校在考试过程中加入主观题，供应商需组织助教批阅，不得另外计费。供应商需提供包含相关信息的运行服务承诺书。</w:t>
            </w:r>
          </w:p>
        </w:tc>
      </w:tr>
    </w:tbl>
    <w:p w14:paraId="5CF5166B">
      <w:pPr>
        <w:spacing w:line="440" w:lineRule="exact"/>
        <w:rPr>
          <w:rFonts w:hint="eastAsia" w:ascii="宋体" w:hAnsi="宋体"/>
          <w:b/>
          <w:sz w:val="24"/>
        </w:rPr>
      </w:pPr>
    </w:p>
    <w:p w14:paraId="14D9CB2A">
      <w:pPr>
        <w:rPr>
          <w:rFonts w:hint="default" w:ascii="宋体" w:hAnsi="宋体" w:eastAsia="宋体"/>
          <w:b/>
          <w:sz w:val="24"/>
          <w:lang w:val="en-US" w:eastAsia="zh-CN"/>
        </w:rPr>
      </w:pPr>
      <w:r>
        <w:rPr>
          <w:rFonts w:hint="eastAsia" w:ascii="宋体" w:hAnsi="宋体"/>
          <w:b/>
          <w:sz w:val="24"/>
          <w:lang w:val="en-US" w:eastAsia="zh-CN"/>
        </w:rPr>
        <w:t>三、商务要求</w:t>
      </w:r>
    </w:p>
    <w:p w14:paraId="00CD274D">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1. 履行合同的时间、地点及方式：自合同签订之日起 180 天内。</w:t>
      </w:r>
    </w:p>
    <w:p w14:paraId="41F27867">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合同签订地点、履行地点：三亚市海南热带海洋学院</w:t>
      </w:r>
    </w:p>
    <w:p w14:paraId="7D6EE784">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2.合同价款支付方式、进度和条件</w:t>
      </w:r>
    </w:p>
    <w:p w14:paraId="44AD6830">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服务完毕，且甲方按照本合同服务验收标准验收合格后，由乙方出具合法等额发票，甲方一次性支付全部服务费。</w:t>
      </w:r>
    </w:p>
    <w:p w14:paraId="2D2CD034">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3.售后服务（含质量保证期、伴随服务、响应时间等）</w:t>
      </w:r>
    </w:p>
    <w:p w14:paraId="37A3909A">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质量保证期：验收合格起一年以上。提供</w:t>
      </w:r>
      <w:r>
        <w:rPr>
          <w:rFonts w:hint="eastAsia" w:ascii="宋体" w:hAnsi="宋体" w:cs="宋体"/>
          <w:color w:val="000000"/>
          <w:kern w:val="0"/>
          <w:sz w:val="22"/>
          <w:szCs w:val="22"/>
          <w:lang w:val="en-US" w:eastAsia="zh-CN"/>
        </w:rPr>
        <w:t>及时的</w:t>
      </w:r>
      <w:r>
        <w:rPr>
          <w:rFonts w:hint="eastAsia" w:ascii="宋体" w:hAnsi="宋体" w:cs="宋体"/>
          <w:color w:val="000000"/>
          <w:kern w:val="0"/>
          <w:sz w:val="22"/>
          <w:szCs w:val="22"/>
        </w:rPr>
        <w:t>技术支持和服务，2小时内作出实质性响应，对重大问题提供现场技术支持，8小时内到达指定现场。</w:t>
      </w:r>
    </w:p>
    <w:p w14:paraId="67788520">
      <w:pPr>
        <w:widowControl/>
        <w:spacing w:line="360" w:lineRule="auto"/>
        <w:jc w:val="left"/>
        <w:rPr>
          <w:rFonts w:hint="eastAsia" w:ascii="宋体" w:hAnsi="宋体" w:cs="宋体"/>
          <w:color w:val="000000"/>
          <w:kern w:val="0"/>
          <w:sz w:val="22"/>
          <w:szCs w:val="22"/>
        </w:rPr>
      </w:pPr>
      <w:r>
        <w:rPr>
          <w:rFonts w:hint="eastAsia" w:ascii="宋体" w:hAnsi="宋体" w:cs="宋体"/>
          <w:color w:val="000000"/>
          <w:kern w:val="0"/>
          <w:sz w:val="22"/>
          <w:szCs w:val="22"/>
        </w:rPr>
        <w:t>4.其它需要说明的事项（项目工期装、运输、保险、安全等）</w:t>
      </w:r>
    </w:p>
    <w:p w14:paraId="5AC8DF90">
      <w:pPr>
        <w:spacing w:line="440" w:lineRule="exact"/>
        <w:rPr>
          <w:rFonts w:hint="eastAsia" w:ascii="宋体" w:hAnsi="宋体"/>
          <w:b/>
          <w:sz w:val="24"/>
        </w:rPr>
      </w:pPr>
    </w:p>
    <w:p w14:paraId="6006CE72">
      <w:pPr>
        <w:spacing w:line="440" w:lineRule="exact"/>
        <w:rPr>
          <w:rFonts w:hint="eastAsia" w:ascii="宋体" w:hAnsi="宋体"/>
          <w:b/>
          <w:sz w:val="24"/>
        </w:rPr>
      </w:pPr>
    </w:p>
    <w:p w14:paraId="7B992338">
      <w:pPr>
        <w:spacing w:line="440" w:lineRule="exact"/>
        <w:rPr>
          <w:rFonts w:hint="eastAsia" w:ascii="宋体" w:hAnsi="宋体"/>
          <w:b/>
          <w:sz w:val="24"/>
        </w:rPr>
      </w:pPr>
      <w:r>
        <w:rPr>
          <w:rFonts w:hint="eastAsia" w:ascii="宋体" w:hAnsi="宋体"/>
          <w:b/>
          <w:sz w:val="24"/>
          <w:lang w:val="en-US" w:eastAsia="zh-CN"/>
        </w:rPr>
        <w:t>四</w:t>
      </w:r>
      <w:r>
        <w:rPr>
          <w:rFonts w:hint="eastAsia" w:ascii="宋体" w:hAnsi="宋体"/>
          <w:b/>
          <w:sz w:val="24"/>
        </w:rPr>
        <w:t>、验收、交付、款项支付和其他</w:t>
      </w:r>
    </w:p>
    <w:p w14:paraId="26EBE34F">
      <w:pPr>
        <w:tabs>
          <w:tab w:val="left" w:pos="1980"/>
        </w:tabs>
        <w:spacing w:line="400" w:lineRule="exact"/>
        <w:ind w:firstLine="480" w:firstLineChars="200"/>
        <w:rPr>
          <w:rFonts w:hint="eastAsia" w:ascii="宋体" w:hAnsi="宋体"/>
          <w:sz w:val="24"/>
        </w:rPr>
      </w:pPr>
      <w:r>
        <w:rPr>
          <w:rFonts w:hint="eastAsia" w:ascii="宋体" w:hAnsi="宋体"/>
          <w:sz w:val="24"/>
        </w:rPr>
        <w:t>详见合同主要条款。</w:t>
      </w:r>
    </w:p>
    <w:p w14:paraId="67F8CC7A">
      <w:pPr>
        <w:tabs>
          <w:tab w:val="left" w:pos="426"/>
        </w:tabs>
        <w:spacing w:line="400" w:lineRule="exact"/>
        <w:ind w:firstLine="480"/>
        <w:rPr>
          <w:rFonts w:ascii="宋体" w:hAnsi="宋体"/>
          <w:sz w:val="24"/>
        </w:rPr>
      </w:pPr>
    </w:p>
    <w:p w14:paraId="1E784124">
      <w:pPr>
        <w:pStyle w:val="14"/>
        <w:spacing w:before="156" w:beforeLines="50" w:beforeAutospacing="0" w:after="0" w:afterAutospacing="0" w:line="375" w:lineRule="atLeast"/>
        <w:jc w:val="center"/>
        <w:rPr>
          <w:rFonts w:hint="eastAsia"/>
          <w:b/>
          <w:sz w:val="32"/>
          <w:szCs w:val="32"/>
        </w:rPr>
      </w:pPr>
      <w:r>
        <w:rPr>
          <w:rFonts w:hint="eastAsia"/>
          <w:b/>
          <w:sz w:val="32"/>
          <w:szCs w:val="32"/>
        </w:rPr>
        <w:t>第</w:t>
      </w:r>
      <w:r>
        <w:rPr>
          <w:rFonts w:hint="eastAsia"/>
          <w:b/>
          <w:sz w:val="32"/>
          <w:szCs w:val="32"/>
          <w:lang w:val="en-US" w:eastAsia="zh-CN"/>
        </w:rPr>
        <w:t>二</w:t>
      </w:r>
      <w:r>
        <w:rPr>
          <w:rFonts w:hint="eastAsia"/>
          <w:b/>
          <w:sz w:val="32"/>
          <w:szCs w:val="32"/>
        </w:rPr>
        <w:t>部分 评审办法</w:t>
      </w:r>
    </w:p>
    <w:p w14:paraId="000EFB58">
      <w:pPr>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一</w:t>
      </w:r>
      <w:r>
        <w:rPr>
          <w:rFonts w:hint="eastAsia" w:ascii="仿宋" w:hAnsi="仿宋" w:eastAsia="仿宋" w:cs="仿宋"/>
          <w:b/>
          <w:sz w:val="32"/>
          <w:szCs w:val="32"/>
        </w:rPr>
        <w:t>、初步评审</w:t>
      </w:r>
    </w:p>
    <w:p w14:paraId="66372C7B">
      <w:pPr>
        <w:ind w:firstLine="640" w:firstLineChars="200"/>
        <w:rPr>
          <w:rFonts w:ascii="仿宋" w:hAnsi="仿宋" w:eastAsia="仿宋" w:cs="仿宋"/>
          <w:sz w:val="32"/>
          <w:szCs w:val="32"/>
        </w:rPr>
      </w:pPr>
      <w:r>
        <w:rPr>
          <w:rFonts w:hint="eastAsia" w:ascii="仿宋" w:hAnsi="仿宋" w:eastAsia="仿宋" w:cs="仿宋"/>
          <w:sz w:val="32"/>
          <w:szCs w:val="32"/>
        </w:rPr>
        <w:t>（一）评选委员会根据“参选文件初步评审表”对参选文件的资格性和符合性进行评审，只有对“参选文件初步评审表”所列各项做出实质性响应的参选文件才能通过初步评审。</w:t>
      </w:r>
    </w:p>
    <w:p w14:paraId="5F28D349">
      <w:pPr>
        <w:ind w:firstLine="640" w:firstLineChars="200"/>
        <w:rPr>
          <w:rFonts w:ascii="仿宋" w:hAnsi="仿宋" w:eastAsia="仿宋" w:cs="仿宋"/>
          <w:sz w:val="32"/>
          <w:szCs w:val="32"/>
        </w:rPr>
      </w:pPr>
      <w:r>
        <w:rPr>
          <w:rFonts w:hint="eastAsia" w:ascii="仿宋" w:hAnsi="仿宋" w:eastAsia="仿宋" w:cs="仿宋"/>
          <w:sz w:val="32"/>
          <w:szCs w:val="32"/>
        </w:rPr>
        <w:t>（二）评选委员会将审查参选文件是否完整，有关资料证明文件是否齐全有效，文件签署是否合格，参选有效期是否满足需求，参选文件的总体编制是否有序号。</w:t>
      </w:r>
    </w:p>
    <w:p w14:paraId="01070B42">
      <w:pPr>
        <w:ind w:firstLine="640" w:firstLineChars="200"/>
        <w:rPr>
          <w:rFonts w:hint="eastAsia" w:ascii="仿宋" w:hAnsi="仿宋" w:eastAsia="仿宋" w:cs="仿宋"/>
          <w:b/>
          <w:bCs/>
          <w:sz w:val="32"/>
          <w:szCs w:val="32"/>
        </w:rPr>
      </w:pPr>
      <w:r>
        <w:rPr>
          <w:rFonts w:hint="eastAsia" w:ascii="仿宋" w:hAnsi="仿宋" w:eastAsia="仿宋" w:cs="仿宋"/>
          <w:sz w:val="32"/>
          <w:szCs w:val="32"/>
        </w:rPr>
        <w:t>（三）在详细评审之前，评选委员会要审查每份参选文件是否实质性响应了招标文件的要求，评选委员会决定参选文件的响应性根据参选文件本身的内容，而不寻找外部的证据。</w:t>
      </w:r>
      <w:r>
        <w:rPr>
          <w:rFonts w:hint="eastAsia" w:ascii="仿宋" w:hAnsi="仿宋" w:eastAsia="仿宋" w:cs="仿宋"/>
          <w:b/>
          <w:bCs/>
          <w:sz w:val="32"/>
          <w:szCs w:val="32"/>
          <w:lang w:val="en-US" w:eastAsia="zh-CN"/>
        </w:rPr>
        <w:t>实质性响应单位3家及以上，即可开展比选活动；</w:t>
      </w:r>
      <w:r>
        <w:rPr>
          <w:rFonts w:hint="eastAsia" w:ascii="仿宋" w:hAnsi="仿宋" w:eastAsia="仿宋" w:cs="仿宋"/>
          <w:b/>
          <w:bCs/>
          <w:sz w:val="32"/>
          <w:szCs w:val="32"/>
        </w:rPr>
        <w:t>实质性响应单位不足</w:t>
      </w:r>
      <w:r>
        <w:rPr>
          <w:rFonts w:hint="eastAsia" w:ascii="仿宋" w:hAnsi="仿宋" w:eastAsia="仿宋" w:cs="仿宋"/>
          <w:b/>
          <w:bCs/>
          <w:sz w:val="32"/>
          <w:szCs w:val="32"/>
          <w:lang w:val="en-US" w:eastAsia="zh-CN"/>
        </w:rPr>
        <w:t>3</w:t>
      </w:r>
      <w:r>
        <w:rPr>
          <w:rFonts w:hint="eastAsia" w:ascii="仿宋" w:hAnsi="仿宋" w:eastAsia="仿宋" w:cs="仿宋"/>
          <w:b/>
          <w:bCs/>
          <w:sz w:val="32"/>
          <w:szCs w:val="32"/>
        </w:rPr>
        <w:t>家的，除比选任务取消情形外，</w:t>
      </w:r>
      <w:r>
        <w:rPr>
          <w:rFonts w:hint="eastAsia" w:ascii="仿宋" w:hAnsi="仿宋" w:eastAsia="仿宋" w:cs="仿宋"/>
          <w:b/>
          <w:bCs/>
          <w:sz w:val="32"/>
          <w:szCs w:val="32"/>
          <w:lang w:val="en-US" w:eastAsia="zh-CN"/>
        </w:rPr>
        <w:t>也可</w:t>
      </w:r>
      <w:r>
        <w:rPr>
          <w:rFonts w:hint="eastAsia" w:ascii="仿宋" w:hAnsi="仿宋" w:eastAsia="仿宋" w:cs="仿宋"/>
          <w:b/>
          <w:bCs/>
          <w:sz w:val="32"/>
          <w:szCs w:val="32"/>
        </w:rPr>
        <w:t>按照以下原则处理：</w:t>
      </w:r>
    </w:p>
    <w:p w14:paraId="1392268E">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一）比选文件不存在不合理条款且比选程序符合本规定的，可选择直接与实质性响应的单位进行协商，也可选择重新组织比选活动；</w:t>
      </w:r>
    </w:p>
    <w:p w14:paraId="6865916E">
      <w:pPr>
        <w:ind w:firstLine="643" w:firstLineChars="200"/>
        <w:rPr>
          <w:rFonts w:hint="eastAsia" w:ascii="宋体" w:hAnsi="宋体"/>
          <w:b/>
          <w:sz w:val="32"/>
          <w:szCs w:val="32"/>
        </w:rPr>
      </w:pPr>
      <w:r>
        <w:rPr>
          <w:rFonts w:hint="eastAsia" w:ascii="仿宋" w:hAnsi="仿宋" w:eastAsia="仿宋" w:cs="仿宋"/>
          <w:b/>
          <w:bCs/>
          <w:sz w:val="32"/>
          <w:szCs w:val="32"/>
        </w:rPr>
        <w:t>二）比选文件存在不合理条款或采购程序不符合本规定等情形，应当终止采购，改正后可重新组织采购活动。</w:t>
      </w:r>
    </w:p>
    <w:p w14:paraId="4500A696">
      <w:pPr>
        <w:jc w:val="center"/>
        <w:rPr>
          <w:rFonts w:ascii="仿宋" w:hAnsi="仿宋" w:eastAsia="仿宋" w:cs="仿宋"/>
          <w:b/>
          <w:color w:val="000000"/>
          <w:sz w:val="32"/>
          <w:szCs w:val="32"/>
        </w:rPr>
      </w:pPr>
      <w:r>
        <w:rPr>
          <w:rFonts w:hint="eastAsia" w:ascii="仿宋" w:hAnsi="仿宋" w:eastAsia="仿宋" w:cs="仿宋"/>
          <w:b/>
          <w:color w:val="000000"/>
          <w:sz w:val="32"/>
          <w:szCs w:val="32"/>
        </w:rPr>
        <w:t>初步审查表</w:t>
      </w:r>
    </w:p>
    <w:p w14:paraId="21649C62">
      <w:pPr>
        <w:rPr>
          <w:rFonts w:ascii="仿宋" w:hAnsi="仿宋" w:eastAsia="仿宋" w:cs="仿宋"/>
          <w:color w:val="000000"/>
          <w:sz w:val="32"/>
          <w:szCs w:val="32"/>
        </w:rPr>
      </w:pPr>
      <w:r>
        <w:rPr>
          <w:rFonts w:hint="eastAsia" w:ascii="仿宋" w:hAnsi="仿宋" w:eastAsia="仿宋" w:cs="仿宋"/>
          <w:color w:val="000000"/>
          <w:sz w:val="32"/>
          <w:szCs w:val="32"/>
        </w:rPr>
        <w:t>评委：                             日期：</w:t>
      </w:r>
    </w:p>
    <w:tbl>
      <w:tblPr>
        <w:tblStyle w:val="17"/>
        <w:tblW w:w="9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753"/>
        <w:gridCol w:w="3470"/>
        <w:gridCol w:w="997"/>
        <w:gridCol w:w="998"/>
        <w:gridCol w:w="997"/>
        <w:gridCol w:w="998"/>
      </w:tblGrid>
      <w:tr w14:paraId="2270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60" w:type="dxa"/>
            <w:noWrap w:val="0"/>
            <w:vAlign w:val="center"/>
          </w:tcPr>
          <w:p w14:paraId="0132D57B">
            <w:pPr>
              <w:spacing w:line="360" w:lineRule="exact"/>
              <w:jc w:val="center"/>
              <w:rPr>
                <w:rFonts w:ascii="宋体" w:hAnsi="宋体"/>
                <w:sz w:val="24"/>
              </w:rPr>
            </w:pPr>
            <w:r>
              <w:rPr>
                <w:rFonts w:hint="eastAsia" w:ascii="宋体" w:hAnsi="宋体"/>
                <w:sz w:val="24"/>
              </w:rPr>
              <w:t>序号</w:t>
            </w:r>
          </w:p>
        </w:tc>
        <w:tc>
          <w:tcPr>
            <w:tcW w:w="1753" w:type="dxa"/>
            <w:noWrap w:val="0"/>
            <w:vAlign w:val="center"/>
          </w:tcPr>
          <w:p w14:paraId="21F45DB7">
            <w:pPr>
              <w:spacing w:line="360" w:lineRule="exact"/>
              <w:jc w:val="center"/>
              <w:rPr>
                <w:rFonts w:ascii="宋体" w:hAnsi="宋体"/>
                <w:sz w:val="24"/>
              </w:rPr>
            </w:pPr>
            <w:r>
              <w:rPr>
                <w:rFonts w:hint="eastAsia" w:ascii="宋体" w:hAnsi="宋体"/>
                <w:sz w:val="24"/>
              </w:rPr>
              <w:t>审查项目</w:t>
            </w:r>
          </w:p>
        </w:tc>
        <w:tc>
          <w:tcPr>
            <w:tcW w:w="3470" w:type="dxa"/>
            <w:noWrap w:val="0"/>
            <w:vAlign w:val="center"/>
          </w:tcPr>
          <w:p w14:paraId="77A8D6BC">
            <w:pPr>
              <w:spacing w:line="360" w:lineRule="exact"/>
              <w:jc w:val="center"/>
              <w:rPr>
                <w:rFonts w:ascii="宋体" w:hAnsi="宋体"/>
                <w:sz w:val="24"/>
              </w:rPr>
            </w:pPr>
            <w:r>
              <w:rPr>
                <w:rFonts w:hint="eastAsia" w:ascii="宋体" w:hAnsi="宋体"/>
                <w:sz w:val="24"/>
              </w:rPr>
              <w:t>评议内容（投标认定条件）</w:t>
            </w:r>
          </w:p>
        </w:tc>
        <w:tc>
          <w:tcPr>
            <w:tcW w:w="997" w:type="dxa"/>
            <w:noWrap w:val="0"/>
            <w:vAlign w:val="center"/>
          </w:tcPr>
          <w:p w14:paraId="06643278">
            <w:pPr>
              <w:spacing w:line="360" w:lineRule="exact"/>
              <w:jc w:val="center"/>
              <w:rPr>
                <w:rFonts w:ascii="宋体" w:hAnsi="宋体"/>
                <w:b/>
                <w:sz w:val="24"/>
              </w:rPr>
            </w:pPr>
            <w:r>
              <w:rPr>
                <w:rFonts w:hint="eastAsia" w:ascii="宋体" w:hAnsi="宋体"/>
                <w:b/>
                <w:sz w:val="24"/>
              </w:rPr>
              <w:t>投标人1</w:t>
            </w:r>
          </w:p>
        </w:tc>
        <w:tc>
          <w:tcPr>
            <w:tcW w:w="998" w:type="dxa"/>
            <w:noWrap w:val="0"/>
            <w:vAlign w:val="center"/>
          </w:tcPr>
          <w:p w14:paraId="6D6F07C2">
            <w:pPr>
              <w:spacing w:line="360" w:lineRule="exact"/>
              <w:jc w:val="center"/>
              <w:rPr>
                <w:rFonts w:ascii="宋体" w:hAnsi="宋体"/>
                <w:b/>
                <w:sz w:val="24"/>
              </w:rPr>
            </w:pPr>
            <w:r>
              <w:rPr>
                <w:rFonts w:hint="eastAsia" w:ascii="宋体" w:hAnsi="宋体"/>
                <w:b/>
                <w:sz w:val="24"/>
              </w:rPr>
              <w:t>投标人2</w:t>
            </w:r>
          </w:p>
        </w:tc>
        <w:tc>
          <w:tcPr>
            <w:tcW w:w="997" w:type="dxa"/>
            <w:noWrap w:val="0"/>
            <w:vAlign w:val="center"/>
          </w:tcPr>
          <w:p w14:paraId="3A93611E">
            <w:pPr>
              <w:spacing w:line="360" w:lineRule="exact"/>
              <w:jc w:val="center"/>
              <w:rPr>
                <w:rFonts w:ascii="宋体" w:hAnsi="宋体"/>
                <w:b/>
                <w:sz w:val="24"/>
              </w:rPr>
            </w:pPr>
            <w:r>
              <w:rPr>
                <w:rFonts w:hint="eastAsia" w:ascii="宋体" w:hAnsi="宋体"/>
                <w:b/>
                <w:sz w:val="24"/>
              </w:rPr>
              <w:t>投标人3</w:t>
            </w:r>
          </w:p>
        </w:tc>
        <w:tc>
          <w:tcPr>
            <w:tcW w:w="998" w:type="dxa"/>
            <w:noWrap w:val="0"/>
            <w:vAlign w:val="center"/>
          </w:tcPr>
          <w:p w14:paraId="74E02D05">
            <w:pPr>
              <w:spacing w:line="360" w:lineRule="exact"/>
              <w:jc w:val="center"/>
              <w:rPr>
                <w:rFonts w:ascii="宋体" w:hAnsi="宋体"/>
                <w:b/>
                <w:sz w:val="24"/>
              </w:rPr>
            </w:pPr>
            <w:r>
              <w:rPr>
                <w:rFonts w:hint="eastAsia" w:ascii="宋体" w:hAnsi="宋体"/>
                <w:b/>
                <w:sz w:val="24"/>
              </w:rPr>
              <w:t>投标人4</w:t>
            </w:r>
          </w:p>
        </w:tc>
      </w:tr>
      <w:tr w14:paraId="72F7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60" w:type="dxa"/>
            <w:noWrap w:val="0"/>
            <w:vAlign w:val="center"/>
          </w:tcPr>
          <w:p w14:paraId="52E85F46">
            <w:pPr>
              <w:spacing w:line="360" w:lineRule="exact"/>
              <w:jc w:val="center"/>
              <w:rPr>
                <w:rFonts w:ascii="宋体" w:hAnsi="宋体"/>
                <w:sz w:val="24"/>
              </w:rPr>
            </w:pPr>
            <w:r>
              <w:rPr>
                <w:rFonts w:hint="eastAsia" w:ascii="宋体" w:hAnsi="宋体"/>
                <w:sz w:val="24"/>
              </w:rPr>
              <w:t>1</w:t>
            </w:r>
          </w:p>
        </w:tc>
        <w:tc>
          <w:tcPr>
            <w:tcW w:w="1753" w:type="dxa"/>
            <w:noWrap w:val="0"/>
            <w:vAlign w:val="center"/>
          </w:tcPr>
          <w:p w14:paraId="5D955139">
            <w:pPr>
              <w:spacing w:line="360" w:lineRule="exact"/>
              <w:jc w:val="center"/>
              <w:rPr>
                <w:rFonts w:ascii="宋体" w:hAnsi="宋体"/>
                <w:sz w:val="24"/>
              </w:rPr>
            </w:pPr>
            <w:r>
              <w:rPr>
                <w:rFonts w:hint="eastAsia" w:ascii="宋体" w:hAnsi="宋体"/>
                <w:sz w:val="24"/>
              </w:rPr>
              <w:t>投标人的资格</w:t>
            </w:r>
          </w:p>
        </w:tc>
        <w:tc>
          <w:tcPr>
            <w:tcW w:w="3470" w:type="dxa"/>
            <w:noWrap w:val="0"/>
            <w:vAlign w:val="center"/>
          </w:tcPr>
          <w:p w14:paraId="031B55D6">
            <w:pPr>
              <w:spacing w:line="360" w:lineRule="exact"/>
              <w:rPr>
                <w:rFonts w:ascii="宋体" w:hAnsi="宋体"/>
                <w:sz w:val="24"/>
              </w:rPr>
            </w:pPr>
            <w:r>
              <w:rPr>
                <w:rFonts w:hint="eastAsia" w:ascii="宋体" w:hAnsi="宋体"/>
                <w:sz w:val="24"/>
              </w:rPr>
              <w:t>是否按供应</w:t>
            </w:r>
            <w:r>
              <w:rPr>
                <w:rFonts w:hint="eastAsia" w:ascii="宋体" w:hAnsi="宋体"/>
                <w:color w:val="000000"/>
                <w:sz w:val="24"/>
              </w:rPr>
              <w:t>商资格要求提供合格的证件</w:t>
            </w:r>
          </w:p>
        </w:tc>
        <w:tc>
          <w:tcPr>
            <w:tcW w:w="997" w:type="dxa"/>
            <w:noWrap w:val="0"/>
            <w:vAlign w:val="center"/>
          </w:tcPr>
          <w:p w14:paraId="4552F7E5">
            <w:pPr>
              <w:spacing w:line="360" w:lineRule="exact"/>
              <w:jc w:val="center"/>
              <w:rPr>
                <w:rFonts w:ascii="宋体" w:hAnsi="宋体"/>
                <w:sz w:val="24"/>
              </w:rPr>
            </w:pPr>
          </w:p>
        </w:tc>
        <w:tc>
          <w:tcPr>
            <w:tcW w:w="998" w:type="dxa"/>
            <w:noWrap w:val="0"/>
            <w:vAlign w:val="center"/>
          </w:tcPr>
          <w:p w14:paraId="3E79852C">
            <w:pPr>
              <w:spacing w:line="360" w:lineRule="exact"/>
              <w:jc w:val="center"/>
              <w:rPr>
                <w:rFonts w:ascii="宋体" w:hAnsi="宋体"/>
                <w:sz w:val="24"/>
              </w:rPr>
            </w:pPr>
          </w:p>
        </w:tc>
        <w:tc>
          <w:tcPr>
            <w:tcW w:w="997" w:type="dxa"/>
            <w:noWrap w:val="0"/>
            <w:vAlign w:val="center"/>
          </w:tcPr>
          <w:p w14:paraId="4E580A5D">
            <w:pPr>
              <w:spacing w:line="360" w:lineRule="exact"/>
              <w:jc w:val="center"/>
              <w:rPr>
                <w:rFonts w:ascii="宋体" w:hAnsi="宋体"/>
                <w:sz w:val="24"/>
              </w:rPr>
            </w:pPr>
          </w:p>
        </w:tc>
        <w:tc>
          <w:tcPr>
            <w:tcW w:w="998" w:type="dxa"/>
            <w:noWrap w:val="0"/>
            <w:vAlign w:val="center"/>
          </w:tcPr>
          <w:p w14:paraId="6CD7E946">
            <w:pPr>
              <w:spacing w:line="360" w:lineRule="exact"/>
              <w:jc w:val="center"/>
              <w:rPr>
                <w:rFonts w:ascii="宋体" w:hAnsi="宋体"/>
                <w:sz w:val="24"/>
              </w:rPr>
            </w:pPr>
          </w:p>
        </w:tc>
      </w:tr>
      <w:tr w14:paraId="0246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60" w:type="dxa"/>
            <w:noWrap w:val="0"/>
            <w:vAlign w:val="center"/>
          </w:tcPr>
          <w:p w14:paraId="5EF6F2B0">
            <w:pPr>
              <w:spacing w:line="360" w:lineRule="exact"/>
              <w:jc w:val="center"/>
              <w:rPr>
                <w:rFonts w:ascii="宋体" w:hAnsi="宋体"/>
                <w:sz w:val="24"/>
              </w:rPr>
            </w:pPr>
            <w:r>
              <w:rPr>
                <w:rFonts w:hint="eastAsia" w:ascii="宋体" w:hAnsi="宋体"/>
                <w:sz w:val="24"/>
              </w:rPr>
              <w:t>2</w:t>
            </w:r>
          </w:p>
        </w:tc>
        <w:tc>
          <w:tcPr>
            <w:tcW w:w="1753" w:type="dxa"/>
            <w:noWrap w:val="0"/>
            <w:vAlign w:val="center"/>
          </w:tcPr>
          <w:p w14:paraId="6521C621">
            <w:pPr>
              <w:spacing w:line="360" w:lineRule="exact"/>
              <w:jc w:val="center"/>
              <w:rPr>
                <w:rFonts w:ascii="宋体" w:hAnsi="宋体"/>
                <w:sz w:val="24"/>
              </w:rPr>
            </w:pPr>
            <w:r>
              <w:rPr>
                <w:rFonts w:hint="eastAsia" w:ascii="宋体" w:hAnsi="宋体"/>
                <w:sz w:val="24"/>
              </w:rPr>
              <w:t>响应文件的有效性</w:t>
            </w:r>
          </w:p>
        </w:tc>
        <w:tc>
          <w:tcPr>
            <w:tcW w:w="3470" w:type="dxa"/>
            <w:noWrap w:val="0"/>
            <w:vAlign w:val="center"/>
          </w:tcPr>
          <w:p w14:paraId="6870F38A">
            <w:pPr>
              <w:spacing w:line="360" w:lineRule="exact"/>
              <w:rPr>
                <w:rFonts w:hint="eastAsia" w:ascii="宋体" w:hAnsi="宋体"/>
                <w:sz w:val="24"/>
              </w:rPr>
            </w:pPr>
            <w:r>
              <w:rPr>
                <w:rFonts w:hint="eastAsia" w:ascii="宋体" w:hAnsi="宋体"/>
                <w:sz w:val="24"/>
              </w:rPr>
              <w:t>是否符合响应文件的式样和签署要求且内容完整无缺漏、无错误</w:t>
            </w:r>
          </w:p>
        </w:tc>
        <w:tc>
          <w:tcPr>
            <w:tcW w:w="997" w:type="dxa"/>
            <w:noWrap w:val="0"/>
            <w:vAlign w:val="center"/>
          </w:tcPr>
          <w:p w14:paraId="31FE2F34">
            <w:pPr>
              <w:spacing w:line="360" w:lineRule="exact"/>
              <w:jc w:val="center"/>
              <w:rPr>
                <w:rFonts w:ascii="宋体" w:hAnsi="宋体"/>
                <w:sz w:val="24"/>
              </w:rPr>
            </w:pPr>
          </w:p>
        </w:tc>
        <w:tc>
          <w:tcPr>
            <w:tcW w:w="998" w:type="dxa"/>
            <w:noWrap w:val="0"/>
            <w:vAlign w:val="center"/>
          </w:tcPr>
          <w:p w14:paraId="73ECE34B">
            <w:pPr>
              <w:spacing w:line="360" w:lineRule="exact"/>
              <w:jc w:val="center"/>
              <w:rPr>
                <w:rFonts w:ascii="宋体" w:hAnsi="宋体"/>
                <w:sz w:val="24"/>
              </w:rPr>
            </w:pPr>
          </w:p>
        </w:tc>
        <w:tc>
          <w:tcPr>
            <w:tcW w:w="997" w:type="dxa"/>
            <w:noWrap w:val="0"/>
            <w:vAlign w:val="center"/>
          </w:tcPr>
          <w:p w14:paraId="4F82D407">
            <w:pPr>
              <w:spacing w:line="360" w:lineRule="exact"/>
              <w:jc w:val="center"/>
              <w:rPr>
                <w:rFonts w:ascii="宋体" w:hAnsi="宋体"/>
                <w:sz w:val="24"/>
              </w:rPr>
            </w:pPr>
          </w:p>
        </w:tc>
        <w:tc>
          <w:tcPr>
            <w:tcW w:w="998" w:type="dxa"/>
            <w:noWrap w:val="0"/>
            <w:vAlign w:val="center"/>
          </w:tcPr>
          <w:p w14:paraId="799E7DAF">
            <w:pPr>
              <w:spacing w:line="360" w:lineRule="exact"/>
              <w:jc w:val="center"/>
              <w:rPr>
                <w:rFonts w:ascii="宋体" w:hAnsi="宋体"/>
                <w:sz w:val="24"/>
              </w:rPr>
            </w:pPr>
          </w:p>
        </w:tc>
      </w:tr>
      <w:tr w14:paraId="0F2D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60" w:type="dxa"/>
            <w:noWrap w:val="0"/>
            <w:vAlign w:val="center"/>
          </w:tcPr>
          <w:p w14:paraId="454BB18F">
            <w:pPr>
              <w:spacing w:line="360" w:lineRule="exact"/>
              <w:jc w:val="center"/>
              <w:rPr>
                <w:rFonts w:hint="eastAsia" w:ascii="宋体" w:hAnsi="宋体"/>
                <w:sz w:val="24"/>
              </w:rPr>
            </w:pPr>
            <w:r>
              <w:rPr>
                <w:rFonts w:hint="eastAsia" w:ascii="宋体" w:hAnsi="宋体"/>
                <w:sz w:val="24"/>
              </w:rPr>
              <w:t>3</w:t>
            </w:r>
          </w:p>
        </w:tc>
        <w:tc>
          <w:tcPr>
            <w:tcW w:w="1753" w:type="dxa"/>
            <w:noWrap w:val="0"/>
            <w:vAlign w:val="center"/>
          </w:tcPr>
          <w:p w14:paraId="3A950991">
            <w:pPr>
              <w:spacing w:line="360" w:lineRule="exact"/>
              <w:jc w:val="center"/>
              <w:rPr>
                <w:rFonts w:hint="eastAsia" w:ascii="宋体" w:hAnsi="宋体"/>
                <w:sz w:val="24"/>
              </w:rPr>
            </w:pPr>
            <w:r>
              <w:rPr>
                <w:rFonts w:hint="eastAsia" w:ascii="宋体" w:hAnsi="宋体"/>
                <w:sz w:val="24"/>
              </w:rPr>
              <w:t>技术指标</w:t>
            </w:r>
          </w:p>
        </w:tc>
        <w:tc>
          <w:tcPr>
            <w:tcW w:w="3470" w:type="dxa"/>
            <w:noWrap w:val="0"/>
            <w:vAlign w:val="center"/>
          </w:tcPr>
          <w:p w14:paraId="42F798F7">
            <w:pPr>
              <w:spacing w:line="360" w:lineRule="exact"/>
              <w:rPr>
                <w:rFonts w:hint="eastAsia" w:ascii="宋体" w:hAnsi="宋体"/>
                <w:sz w:val="24"/>
              </w:rPr>
            </w:pPr>
            <w:r>
              <w:rPr>
                <w:rFonts w:hint="eastAsia" w:ascii="宋体" w:hAnsi="宋体"/>
                <w:sz w:val="24"/>
              </w:rPr>
              <w:t>技术指标是否全部满足要求</w:t>
            </w:r>
          </w:p>
        </w:tc>
        <w:tc>
          <w:tcPr>
            <w:tcW w:w="997" w:type="dxa"/>
            <w:noWrap w:val="0"/>
            <w:vAlign w:val="center"/>
          </w:tcPr>
          <w:p w14:paraId="7F564BD3">
            <w:pPr>
              <w:spacing w:line="360" w:lineRule="exact"/>
              <w:jc w:val="center"/>
              <w:rPr>
                <w:rFonts w:ascii="宋体" w:hAnsi="宋体"/>
                <w:sz w:val="24"/>
              </w:rPr>
            </w:pPr>
          </w:p>
        </w:tc>
        <w:tc>
          <w:tcPr>
            <w:tcW w:w="998" w:type="dxa"/>
            <w:noWrap w:val="0"/>
            <w:vAlign w:val="center"/>
          </w:tcPr>
          <w:p w14:paraId="5C127BF4">
            <w:pPr>
              <w:spacing w:line="360" w:lineRule="exact"/>
              <w:jc w:val="center"/>
              <w:rPr>
                <w:rFonts w:ascii="宋体" w:hAnsi="宋体"/>
                <w:sz w:val="24"/>
              </w:rPr>
            </w:pPr>
          </w:p>
        </w:tc>
        <w:tc>
          <w:tcPr>
            <w:tcW w:w="997" w:type="dxa"/>
            <w:noWrap w:val="0"/>
            <w:vAlign w:val="center"/>
          </w:tcPr>
          <w:p w14:paraId="6DDC7A8C">
            <w:pPr>
              <w:spacing w:line="360" w:lineRule="exact"/>
              <w:jc w:val="center"/>
              <w:rPr>
                <w:rFonts w:ascii="宋体" w:hAnsi="宋体"/>
                <w:sz w:val="24"/>
              </w:rPr>
            </w:pPr>
          </w:p>
        </w:tc>
        <w:tc>
          <w:tcPr>
            <w:tcW w:w="998" w:type="dxa"/>
            <w:noWrap w:val="0"/>
            <w:vAlign w:val="center"/>
          </w:tcPr>
          <w:p w14:paraId="4AC7987B">
            <w:pPr>
              <w:spacing w:line="360" w:lineRule="exact"/>
              <w:jc w:val="center"/>
              <w:rPr>
                <w:rFonts w:ascii="宋体" w:hAnsi="宋体"/>
                <w:sz w:val="24"/>
              </w:rPr>
            </w:pPr>
          </w:p>
        </w:tc>
      </w:tr>
      <w:tr w14:paraId="0764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60" w:type="dxa"/>
            <w:noWrap w:val="0"/>
            <w:vAlign w:val="center"/>
          </w:tcPr>
          <w:p w14:paraId="50A9EDFF">
            <w:pPr>
              <w:spacing w:line="360" w:lineRule="exact"/>
              <w:jc w:val="center"/>
              <w:rPr>
                <w:rFonts w:hint="eastAsia" w:ascii="宋体" w:hAnsi="宋体" w:eastAsia="宋体"/>
                <w:sz w:val="24"/>
                <w:lang w:eastAsia="zh-CN"/>
              </w:rPr>
            </w:pPr>
            <w:r>
              <w:rPr>
                <w:rFonts w:hint="eastAsia" w:ascii="宋体" w:hAnsi="宋体"/>
                <w:sz w:val="24"/>
                <w:lang w:val="en-US" w:eastAsia="zh-CN"/>
              </w:rPr>
              <w:t>4</w:t>
            </w:r>
          </w:p>
        </w:tc>
        <w:tc>
          <w:tcPr>
            <w:tcW w:w="1753" w:type="dxa"/>
            <w:noWrap w:val="0"/>
            <w:vAlign w:val="center"/>
          </w:tcPr>
          <w:p w14:paraId="4262F0E1">
            <w:pPr>
              <w:spacing w:line="360" w:lineRule="exact"/>
              <w:jc w:val="center"/>
              <w:rPr>
                <w:rFonts w:hint="eastAsia" w:ascii="宋体" w:hAnsi="宋体"/>
                <w:sz w:val="24"/>
              </w:rPr>
            </w:pPr>
            <w:r>
              <w:rPr>
                <w:rFonts w:hint="eastAsia" w:ascii="宋体" w:hAnsi="宋体"/>
                <w:sz w:val="24"/>
              </w:rPr>
              <w:t>投标报价</w:t>
            </w:r>
          </w:p>
        </w:tc>
        <w:tc>
          <w:tcPr>
            <w:tcW w:w="3470" w:type="dxa"/>
            <w:noWrap w:val="0"/>
            <w:vAlign w:val="center"/>
          </w:tcPr>
          <w:p w14:paraId="324B958B">
            <w:pPr>
              <w:spacing w:line="360" w:lineRule="exact"/>
              <w:rPr>
                <w:rFonts w:hint="eastAsia" w:ascii="宋体" w:hAnsi="宋体"/>
                <w:sz w:val="24"/>
              </w:rPr>
            </w:pPr>
            <w:r>
              <w:rPr>
                <w:rFonts w:hint="eastAsia" w:ascii="宋体" w:hAnsi="宋体"/>
                <w:sz w:val="24"/>
              </w:rPr>
              <w:t>是否唯一报价且不高于预算价</w:t>
            </w:r>
          </w:p>
        </w:tc>
        <w:tc>
          <w:tcPr>
            <w:tcW w:w="997" w:type="dxa"/>
            <w:noWrap w:val="0"/>
            <w:vAlign w:val="center"/>
          </w:tcPr>
          <w:p w14:paraId="3D7103FA">
            <w:pPr>
              <w:spacing w:line="360" w:lineRule="exact"/>
              <w:jc w:val="center"/>
              <w:rPr>
                <w:rFonts w:ascii="宋体" w:hAnsi="宋体"/>
                <w:sz w:val="24"/>
              </w:rPr>
            </w:pPr>
          </w:p>
        </w:tc>
        <w:tc>
          <w:tcPr>
            <w:tcW w:w="998" w:type="dxa"/>
            <w:noWrap w:val="0"/>
            <w:vAlign w:val="center"/>
          </w:tcPr>
          <w:p w14:paraId="4637CA91">
            <w:pPr>
              <w:spacing w:line="360" w:lineRule="exact"/>
              <w:jc w:val="center"/>
              <w:rPr>
                <w:rFonts w:ascii="宋体" w:hAnsi="宋体"/>
                <w:sz w:val="24"/>
              </w:rPr>
            </w:pPr>
          </w:p>
        </w:tc>
        <w:tc>
          <w:tcPr>
            <w:tcW w:w="997" w:type="dxa"/>
            <w:noWrap w:val="0"/>
            <w:vAlign w:val="center"/>
          </w:tcPr>
          <w:p w14:paraId="3BA77379">
            <w:pPr>
              <w:spacing w:line="360" w:lineRule="exact"/>
              <w:jc w:val="center"/>
              <w:rPr>
                <w:rFonts w:ascii="宋体" w:hAnsi="宋体"/>
                <w:sz w:val="24"/>
              </w:rPr>
            </w:pPr>
          </w:p>
        </w:tc>
        <w:tc>
          <w:tcPr>
            <w:tcW w:w="998" w:type="dxa"/>
            <w:noWrap w:val="0"/>
            <w:vAlign w:val="center"/>
          </w:tcPr>
          <w:p w14:paraId="4C960A87">
            <w:pPr>
              <w:spacing w:line="360" w:lineRule="exact"/>
              <w:jc w:val="center"/>
              <w:rPr>
                <w:rFonts w:ascii="宋体" w:hAnsi="宋体"/>
                <w:sz w:val="24"/>
              </w:rPr>
            </w:pPr>
          </w:p>
        </w:tc>
      </w:tr>
      <w:tr w14:paraId="749B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60" w:type="dxa"/>
            <w:noWrap w:val="0"/>
            <w:vAlign w:val="center"/>
          </w:tcPr>
          <w:p w14:paraId="2EB0028C">
            <w:pPr>
              <w:spacing w:line="360" w:lineRule="exact"/>
              <w:jc w:val="center"/>
              <w:rPr>
                <w:rFonts w:hint="eastAsia" w:ascii="宋体" w:hAnsi="宋体" w:eastAsia="宋体"/>
                <w:sz w:val="24"/>
                <w:lang w:eastAsia="zh-CN"/>
              </w:rPr>
            </w:pPr>
            <w:r>
              <w:rPr>
                <w:rFonts w:hint="eastAsia" w:ascii="宋体" w:hAnsi="宋体"/>
                <w:sz w:val="24"/>
                <w:lang w:val="en-US" w:eastAsia="zh-CN"/>
              </w:rPr>
              <w:t>5</w:t>
            </w:r>
          </w:p>
        </w:tc>
        <w:tc>
          <w:tcPr>
            <w:tcW w:w="1753" w:type="dxa"/>
            <w:noWrap w:val="0"/>
            <w:vAlign w:val="center"/>
          </w:tcPr>
          <w:p w14:paraId="6F6E48D1">
            <w:pPr>
              <w:spacing w:line="360" w:lineRule="exact"/>
              <w:jc w:val="center"/>
              <w:rPr>
                <w:rFonts w:ascii="宋体" w:hAnsi="宋体"/>
                <w:sz w:val="24"/>
              </w:rPr>
            </w:pPr>
            <w:r>
              <w:rPr>
                <w:rFonts w:hint="eastAsia" w:ascii="宋体" w:hAnsi="宋体"/>
                <w:sz w:val="24"/>
              </w:rPr>
              <w:t>交货期</w:t>
            </w:r>
          </w:p>
        </w:tc>
        <w:tc>
          <w:tcPr>
            <w:tcW w:w="3470" w:type="dxa"/>
            <w:noWrap w:val="0"/>
            <w:vAlign w:val="center"/>
          </w:tcPr>
          <w:p w14:paraId="296094F0">
            <w:pPr>
              <w:spacing w:line="360" w:lineRule="exact"/>
              <w:rPr>
                <w:rFonts w:ascii="宋体" w:hAnsi="宋体"/>
                <w:sz w:val="24"/>
              </w:rPr>
            </w:pPr>
            <w:r>
              <w:rPr>
                <w:rFonts w:hint="eastAsia" w:ascii="宋体" w:hAnsi="宋体"/>
                <w:sz w:val="24"/>
              </w:rPr>
              <w:t>是否按照采购文件规定时间</w:t>
            </w:r>
          </w:p>
        </w:tc>
        <w:tc>
          <w:tcPr>
            <w:tcW w:w="997" w:type="dxa"/>
            <w:noWrap w:val="0"/>
            <w:vAlign w:val="center"/>
          </w:tcPr>
          <w:p w14:paraId="76F1DC53">
            <w:pPr>
              <w:spacing w:line="360" w:lineRule="exact"/>
              <w:jc w:val="center"/>
              <w:rPr>
                <w:rFonts w:ascii="宋体" w:hAnsi="宋体"/>
                <w:sz w:val="24"/>
              </w:rPr>
            </w:pPr>
          </w:p>
        </w:tc>
        <w:tc>
          <w:tcPr>
            <w:tcW w:w="998" w:type="dxa"/>
            <w:noWrap w:val="0"/>
            <w:vAlign w:val="center"/>
          </w:tcPr>
          <w:p w14:paraId="2F551795">
            <w:pPr>
              <w:spacing w:line="360" w:lineRule="exact"/>
              <w:jc w:val="center"/>
              <w:rPr>
                <w:rFonts w:ascii="宋体" w:hAnsi="宋体"/>
                <w:sz w:val="24"/>
              </w:rPr>
            </w:pPr>
          </w:p>
        </w:tc>
        <w:tc>
          <w:tcPr>
            <w:tcW w:w="997" w:type="dxa"/>
            <w:noWrap w:val="0"/>
            <w:vAlign w:val="center"/>
          </w:tcPr>
          <w:p w14:paraId="773FA700">
            <w:pPr>
              <w:spacing w:line="360" w:lineRule="exact"/>
              <w:jc w:val="center"/>
              <w:rPr>
                <w:rFonts w:ascii="宋体" w:hAnsi="宋体"/>
                <w:sz w:val="24"/>
              </w:rPr>
            </w:pPr>
          </w:p>
        </w:tc>
        <w:tc>
          <w:tcPr>
            <w:tcW w:w="998" w:type="dxa"/>
            <w:noWrap w:val="0"/>
            <w:vAlign w:val="center"/>
          </w:tcPr>
          <w:p w14:paraId="5D5AA912">
            <w:pPr>
              <w:spacing w:line="360" w:lineRule="exact"/>
              <w:jc w:val="center"/>
              <w:rPr>
                <w:rFonts w:ascii="宋体" w:hAnsi="宋体"/>
                <w:sz w:val="24"/>
              </w:rPr>
            </w:pPr>
          </w:p>
        </w:tc>
      </w:tr>
      <w:tr w14:paraId="55B5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60" w:type="dxa"/>
            <w:noWrap w:val="0"/>
            <w:vAlign w:val="center"/>
          </w:tcPr>
          <w:p w14:paraId="7817AA69">
            <w:pPr>
              <w:spacing w:line="360" w:lineRule="exact"/>
              <w:jc w:val="center"/>
              <w:rPr>
                <w:rFonts w:hint="eastAsia" w:ascii="宋体" w:hAnsi="宋体" w:eastAsia="宋体"/>
                <w:sz w:val="24"/>
                <w:lang w:eastAsia="zh-CN"/>
              </w:rPr>
            </w:pPr>
            <w:r>
              <w:rPr>
                <w:rFonts w:hint="eastAsia" w:ascii="宋体" w:hAnsi="宋体"/>
                <w:sz w:val="24"/>
                <w:lang w:val="en-US" w:eastAsia="zh-CN"/>
              </w:rPr>
              <w:t>6</w:t>
            </w:r>
          </w:p>
        </w:tc>
        <w:tc>
          <w:tcPr>
            <w:tcW w:w="1753" w:type="dxa"/>
            <w:noWrap w:val="0"/>
            <w:vAlign w:val="center"/>
          </w:tcPr>
          <w:p w14:paraId="103095EF">
            <w:pPr>
              <w:spacing w:line="360" w:lineRule="exact"/>
              <w:jc w:val="center"/>
              <w:rPr>
                <w:rFonts w:ascii="宋体" w:hAnsi="宋体"/>
                <w:sz w:val="24"/>
              </w:rPr>
            </w:pPr>
            <w:r>
              <w:rPr>
                <w:rFonts w:hint="eastAsia" w:ascii="宋体" w:hAnsi="宋体"/>
                <w:sz w:val="24"/>
              </w:rPr>
              <w:t>其它</w:t>
            </w:r>
          </w:p>
        </w:tc>
        <w:tc>
          <w:tcPr>
            <w:tcW w:w="3470" w:type="dxa"/>
            <w:noWrap w:val="0"/>
            <w:vAlign w:val="center"/>
          </w:tcPr>
          <w:p w14:paraId="417930B1">
            <w:pPr>
              <w:spacing w:line="360" w:lineRule="exact"/>
              <w:rPr>
                <w:rFonts w:ascii="宋体" w:hAnsi="宋体"/>
                <w:sz w:val="24"/>
              </w:rPr>
            </w:pPr>
            <w:r>
              <w:rPr>
                <w:rFonts w:hint="eastAsia" w:ascii="宋体" w:hAnsi="宋体"/>
                <w:sz w:val="24"/>
              </w:rPr>
              <w:t>无其它采购文件中无效投标认定的条件</w:t>
            </w:r>
          </w:p>
        </w:tc>
        <w:tc>
          <w:tcPr>
            <w:tcW w:w="997" w:type="dxa"/>
            <w:noWrap w:val="0"/>
            <w:vAlign w:val="center"/>
          </w:tcPr>
          <w:p w14:paraId="365A861C">
            <w:pPr>
              <w:spacing w:line="360" w:lineRule="exact"/>
              <w:jc w:val="center"/>
              <w:rPr>
                <w:rFonts w:ascii="宋体" w:hAnsi="宋体"/>
                <w:sz w:val="24"/>
              </w:rPr>
            </w:pPr>
          </w:p>
        </w:tc>
        <w:tc>
          <w:tcPr>
            <w:tcW w:w="998" w:type="dxa"/>
            <w:noWrap w:val="0"/>
            <w:vAlign w:val="center"/>
          </w:tcPr>
          <w:p w14:paraId="03BFB141">
            <w:pPr>
              <w:spacing w:line="360" w:lineRule="exact"/>
              <w:jc w:val="center"/>
              <w:rPr>
                <w:rFonts w:ascii="宋体" w:hAnsi="宋体"/>
                <w:sz w:val="24"/>
              </w:rPr>
            </w:pPr>
          </w:p>
        </w:tc>
        <w:tc>
          <w:tcPr>
            <w:tcW w:w="997" w:type="dxa"/>
            <w:noWrap w:val="0"/>
            <w:vAlign w:val="center"/>
          </w:tcPr>
          <w:p w14:paraId="314C86F8">
            <w:pPr>
              <w:spacing w:line="360" w:lineRule="exact"/>
              <w:jc w:val="center"/>
              <w:rPr>
                <w:rFonts w:ascii="宋体" w:hAnsi="宋体"/>
                <w:sz w:val="24"/>
              </w:rPr>
            </w:pPr>
          </w:p>
        </w:tc>
        <w:tc>
          <w:tcPr>
            <w:tcW w:w="998" w:type="dxa"/>
            <w:noWrap w:val="0"/>
            <w:vAlign w:val="center"/>
          </w:tcPr>
          <w:p w14:paraId="635A28AC">
            <w:pPr>
              <w:spacing w:line="360" w:lineRule="exact"/>
              <w:jc w:val="center"/>
              <w:rPr>
                <w:rFonts w:ascii="宋体" w:hAnsi="宋体"/>
                <w:sz w:val="24"/>
              </w:rPr>
            </w:pPr>
          </w:p>
        </w:tc>
      </w:tr>
      <w:tr w14:paraId="7E95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60" w:type="dxa"/>
            <w:noWrap w:val="0"/>
            <w:vAlign w:val="center"/>
          </w:tcPr>
          <w:p w14:paraId="1DC15E76">
            <w:pPr>
              <w:spacing w:line="360" w:lineRule="exact"/>
              <w:jc w:val="center"/>
              <w:rPr>
                <w:rFonts w:hint="eastAsia" w:ascii="宋体" w:hAnsi="宋体" w:eastAsia="宋体"/>
                <w:sz w:val="24"/>
                <w:lang w:eastAsia="zh-CN"/>
              </w:rPr>
            </w:pPr>
            <w:r>
              <w:rPr>
                <w:rFonts w:hint="eastAsia" w:ascii="宋体" w:hAnsi="宋体"/>
                <w:sz w:val="24"/>
                <w:lang w:val="en-US" w:eastAsia="zh-CN"/>
              </w:rPr>
              <w:t>7</w:t>
            </w:r>
          </w:p>
        </w:tc>
        <w:tc>
          <w:tcPr>
            <w:tcW w:w="1753" w:type="dxa"/>
            <w:noWrap w:val="0"/>
            <w:vAlign w:val="center"/>
          </w:tcPr>
          <w:p w14:paraId="64E783AE">
            <w:pPr>
              <w:spacing w:line="360" w:lineRule="exact"/>
              <w:jc w:val="center"/>
              <w:rPr>
                <w:rFonts w:ascii="宋体" w:hAnsi="宋体"/>
                <w:sz w:val="24"/>
              </w:rPr>
            </w:pPr>
          </w:p>
        </w:tc>
        <w:tc>
          <w:tcPr>
            <w:tcW w:w="3470" w:type="dxa"/>
            <w:noWrap w:val="0"/>
            <w:vAlign w:val="center"/>
          </w:tcPr>
          <w:p w14:paraId="3F0F998F">
            <w:pPr>
              <w:spacing w:line="360" w:lineRule="exact"/>
              <w:rPr>
                <w:rFonts w:ascii="宋体" w:hAnsi="宋体"/>
                <w:sz w:val="24"/>
              </w:rPr>
            </w:pPr>
            <w:r>
              <w:rPr>
                <w:rFonts w:hint="eastAsia" w:ascii="宋体" w:hAnsi="宋体"/>
                <w:sz w:val="24"/>
              </w:rPr>
              <w:t>结论</w:t>
            </w:r>
          </w:p>
        </w:tc>
        <w:tc>
          <w:tcPr>
            <w:tcW w:w="997" w:type="dxa"/>
            <w:noWrap w:val="0"/>
            <w:vAlign w:val="center"/>
          </w:tcPr>
          <w:p w14:paraId="55B10C8A">
            <w:pPr>
              <w:spacing w:line="360" w:lineRule="exact"/>
              <w:jc w:val="center"/>
              <w:rPr>
                <w:rFonts w:ascii="宋体" w:hAnsi="宋体"/>
                <w:sz w:val="24"/>
              </w:rPr>
            </w:pPr>
          </w:p>
        </w:tc>
        <w:tc>
          <w:tcPr>
            <w:tcW w:w="998" w:type="dxa"/>
            <w:noWrap w:val="0"/>
            <w:vAlign w:val="center"/>
          </w:tcPr>
          <w:p w14:paraId="1DE8F49B">
            <w:pPr>
              <w:spacing w:line="360" w:lineRule="exact"/>
              <w:jc w:val="center"/>
              <w:rPr>
                <w:rFonts w:ascii="宋体" w:hAnsi="宋体"/>
                <w:sz w:val="24"/>
              </w:rPr>
            </w:pPr>
          </w:p>
        </w:tc>
        <w:tc>
          <w:tcPr>
            <w:tcW w:w="997" w:type="dxa"/>
            <w:noWrap w:val="0"/>
            <w:vAlign w:val="center"/>
          </w:tcPr>
          <w:p w14:paraId="1BEBBE67">
            <w:pPr>
              <w:spacing w:line="360" w:lineRule="exact"/>
              <w:jc w:val="center"/>
              <w:rPr>
                <w:rFonts w:ascii="宋体" w:hAnsi="宋体"/>
                <w:sz w:val="24"/>
              </w:rPr>
            </w:pPr>
          </w:p>
        </w:tc>
        <w:tc>
          <w:tcPr>
            <w:tcW w:w="998" w:type="dxa"/>
            <w:noWrap w:val="0"/>
            <w:vAlign w:val="center"/>
          </w:tcPr>
          <w:p w14:paraId="47A389AD">
            <w:pPr>
              <w:spacing w:line="360" w:lineRule="exact"/>
              <w:jc w:val="center"/>
              <w:rPr>
                <w:rFonts w:ascii="宋体" w:hAnsi="宋体"/>
                <w:sz w:val="24"/>
              </w:rPr>
            </w:pPr>
          </w:p>
        </w:tc>
      </w:tr>
      <w:tr w14:paraId="572A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873" w:type="dxa"/>
            <w:gridSpan w:val="7"/>
            <w:noWrap w:val="0"/>
            <w:vAlign w:val="center"/>
          </w:tcPr>
          <w:p w14:paraId="3DA98E1D">
            <w:pPr>
              <w:spacing w:line="360" w:lineRule="exact"/>
              <w:rPr>
                <w:rFonts w:ascii="宋体" w:hAnsi="宋体"/>
                <w:sz w:val="24"/>
              </w:rPr>
            </w:pPr>
            <w:r>
              <w:rPr>
                <w:rFonts w:hint="eastAsia" w:ascii="宋体" w:hAnsi="宋体"/>
                <w:sz w:val="24"/>
              </w:rPr>
              <w:t>备注：</w:t>
            </w:r>
          </w:p>
        </w:tc>
      </w:tr>
    </w:tbl>
    <w:p w14:paraId="37B77E7F">
      <w:pPr>
        <w:rPr>
          <w:rFonts w:hint="eastAsia" w:ascii="仿宋" w:hAnsi="仿宋" w:eastAsia="仿宋" w:cs="仿宋"/>
          <w:color w:val="000000"/>
          <w:sz w:val="32"/>
          <w:szCs w:val="32"/>
        </w:rPr>
      </w:pPr>
    </w:p>
    <w:p w14:paraId="282A6CE4">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说明：</w:t>
      </w:r>
    </w:p>
    <w:p w14:paraId="648428C0">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1、表中只需填写“√/通过”或“×/不通过”。</w:t>
      </w:r>
    </w:p>
    <w:p w14:paraId="65BA7833">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2、在结论中按“一项否决”的原则，只有全部是√/通过的，填写“合格”；只要其中有一项是×/不通过的，填写“不合格”。</w:t>
      </w:r>
    </w:p>
    <w:p w14:paraId="26E4F08B">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3、结论是合格的，才能进入下一轮；不合格的被淘汰。</w:t>
      </w:r>
    </w:p>
    <w:p w14:paraId="709368C9">
      <w:pPr>
        <w:ind w:firstLine="643" w:firstLineChars="200"/>
        <w:rPr>
          <w:rFonts w:hint="eastAsia" w:ascii="仿宋" w:hAnsi="仿宋" w:eastAsia="仿宋" w:cs="仿宋"/>
          <w:b/>
          <w:sz w:val="32"/>
          <w:szCs w:val="32"/>
        </w:rPr>
      </w:pPr>
    </w:p>
    <w:p w14:paraId="1ED4FA0E">
      <w:pPr>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二</w:t>
      </w:r>
      <w:r>
        <w:rPr>
          <w:rFonts w:hint="eastAsia" w:ascii="仿宋" w:hAnsi="仿宋" w:eastAsia="仿宋" w:cs="仿宋"/>
          <w:b/>
          <w:sz w:val="32"/>
          <w:szCs w:val="32"/>
        </w:rPr>
        <w:t>、详细评审</w:t>
      </w:r>
    </w:p>
    <w:p w14:paraId="17DD86F4">
      <w:pPr>
        <w:ind w:firstLine="640"/>
        <w:rPr>
          <w:rFonts w:ascii="仿宋" w:hAnsi="仿宋" w:eastAsia="仿宋"/>
          <w:sz w:val="32"/>
          <w:szCs w:val="32"/>
        </w:rPr>
      </w:pPr>
      <w:r>
        <w:rPr>
          <w:rFonts w:hint="eastAsia" w:ascii="仿宋" w:hAnsi="仿宋" w:eastAsia="仿宋"/>
          <w:sz w:val="32"/>
          <w:szCs w:val="32"/>
        </w:rPr>
        <w:t>1、详细评审是对通过初步评审的参选进行技术商务及信誉、价格的评审。</w:t>
      </w:r>
    </w:p>
    <w:p w14:paraId="44CA5F1A">
      <w:pPr>
        <w:spacing w:line="360" w:lineRule="auto"/>
        <w:ind w:firstLine="640" w:firstLineChars="200"/>
        <w:rPr>
          <w:rFonts w:ascii="仿宋" w:hAnsi="仿宋" w:eastAsia="仿宋"/>
          <w:sz w:val="32"/>
          <w:szCs w:val="32"/>
        </w:rPr>
      </w:pPr>
      <w:r>
        <w:rPr>
          <w:rFonts w:hint="eastAsia" w:ascii="仿宋" w:hAnsi="仿宋" w:eastAsia="仿宋"/>
          <w:sz w:val="32"/>
          <w:szCs w:val="32"/>
        </w:rPr>
        <w:t>2、评选委员会对参选人参选进行评审。</w:t>
      </w:r>
    </w:p>
    <w:p w14:paraId="575C8874">
      <w:pPr>
        <w:ind w:firstLine="643" w:firstLineChars="200"/>
        <w:rPr>
          <w:rFonts w:hint="default" w:ascii="仿宋" w:hAnsi="仿宋" w:eastAsia="仿宋" w:cs="仿宋"/>
          <w:b/>
          <w:sz w:val="32"/>
          <w:szCs w:val="32"/>
          <w:lang w:val="en-US" w:eastAsia="zh-CN"/>
        </w:rPr>
      </w:pPr>
      <w:r>
        <w:rPr>
          <w:rFonts w:hint="eastAsia" w:ascii="仿宋" w:hAnsi="仿宋" w:eastAsia="仿宋" w:cs="仿宋"/>
          <w:b/>
          <w:sz w:val="32"/>
          <w:szCs w:val="32"/>
          <w:lang w:val="en-US" w:eastAsia="zh-CN"/>
        </w:rPr>
        <w:t>三</w:t>
      </w:r>
      <w:r>
        <w:rPr>
          <w:rFonts w:hint="eastAsia" w:ascii="仿宋" w:hAnsi="仿宋" w:eastAsia="仿宋" w:cs="仿宋"/>
          <w:b/>
          <w:sz w:val="32"/>
          <w:szCs w:val="32"/>
        </w:rPr>
        <w:t>、无效参选的认定</w:t>
      </w:r>
    </w:p>
    <w:p w14:paraId="31208E06">
      <w:pPr>
        <w:ind w:firstLine="640" w:firstLineChars="200"/>
        <w:rPr>
          <w:rFonts w:ascii="仿宋" w:hAnsi="仿宋" w:eastAsia="仿宋" w:cs="仿宋"/>
          <w:sz w:val="32"/>
          <w:szCs w:val="32"/>
        </w:rPr>
      </w:pPr>
      <w:r>
        <w:rPr>
          <w:rFonts w:hint="eastAsia" w:ascii="仿宋" w:hAnsi="仿宋" w:eastAsia="仿宋" w:cs="仿宋"/>
          <w:sz w:val="32"/>
          <w:szCs w:val="32"/>
        </w:rPr>
        <w:t>（一）参选文件出现但不限于下列情况的将被认定为无效参选：</w:t>
      </w:r>
    </w:p>
    <w:p w14:paraId="35A929FB">
      <w:pPr>
        <w:ind w:firstLine="640" w:firstLineChars="200"/>
        <w:rPr>
          <w:rFonts w:ascii="仿宋" w:hAnsi="仿宋" w:eastAsia="仿宋" w:cs="仿宋"/>
          <w:sz w:val="32"/>
          <w:szCs w:val="32"/>
        </w:rPr>
      </w:pPr>
      <w:r>
        <w:rPr>
          <w:rFonts w:hint="eastAsia" w:ascii="仿宋" w:hAnsi="仿宋" w:eastAsia="仿宋" w:cs="仿宋"/>
          <w:sz w:val="32"/>
          <w:szCs w:val="32"/>
        </w:rPr>
        <w:t>1.参选有效期或工期不足的；</w:t>
      </w:r>
    </w:p>
    <w:p w14:paraId="2E1D1F38">
      <w:pPr>
        <w:ind w:firstLine="640" w:firstLineChars="200"/>
        <w:rPr>
          <w:rFonts w:ascii="仿宋" w:hAnsi="仿宋" w:eastAsia="仿宋" w:cs="仿宋"/>
          <w:sz w:val="32"/>
          <w:szCs w:val="32"/>
        </w:rPr>
      </w:pPr>
      <w:r>
        <w:rPr>
          <w:rFonts w:hint="eastAsia" w:ascii="仿宋" w:hAnsi="仿宋" w:eastAsia="仿宋" w:cs="仿宋"/>
          <w:sz w:val="32"/>
          <w:szCs w:val="32"/>
        </w:rPr>
        <w:t>2.不符合合格参选人条件的；</w:t>
      </w:r>
    </w:p>
    <w:p w14:paraId="0884F3BD">
      <w:pPr>
        <w:ind w:firstLine="640" w:firstLineChars="200"/>
        <w:rPr>
          <w:rFonts w:ascii="仿宋" w:hAnsi="仿宋" w:eastAsia="仿宋" w:cs="仿宋"/>
          <w:sz w:val="32"/>
          <w:szCs w:val="32"/>
        </w:rPr>
      </w:pPr>
      <w:r>
        <w:rPr>
          <w:rFonts w:hint="eastAsia" w:ascii="仿宋" w:hAnsi="仿宋" w:eastAsia="仿宋" w:cs="仿宋"/>
          <w:sz w:val="32"/>
          <w:szCs w:val="32"/>
        </w:rPr>
        <w:t>3.参选文件未按招标文件规定要求填写参选内容及签名盖章的；</w:t>
      </w:r>
    </w:p>
    <w:p w14:paraId="01CA52EA">
      <w:pPr>
        <w:ind w:firstLine="640" w:firstLineChars="200"/>
        <w:rPr>
          <w:rFonts w:ascii="仿宋" w:hAnsi="仿宋" w:eastAsia="仿宋" w:cs="仿宋"/>
          <w:sz w:val="32"/>
          <w:szCs w:val="32"/>
        </w:rPr>
      </w:pPr>
      <w:r>
        <w:rPr>
          <w:rFonts w:hint="eastAsia" w:ascii="仿宋" w:hAnsi="仿宋" w:eastAsia="仿宋" w:cs="仿宋"/>
          <w:sz w:val="32"/>
          <w:szCs w:val="32"/>
        </w:rPr>
        <w:t>4.参选价不是固定价或参选价不是唯一的（除非《参选资料表》另有规定）；</w:t>
      </w:r>
    </w:p>
    <w:p w14:paraId="7668B078">
      <w:pPr>
        <w:ind w:firstLine="640" w:firstLineChars="200"/>
        <w:rPr>
          <w:rFonts w:ascii="仿宋" w:hAnsi="仿宋" w:eastAsia="仿宋" w:cs="仿宋"/>
          <w:sz w:val="32"/>
          <w:szCs w:val="32"/>
        </w:rPr>
      </w:pPr>
      <w:r>
        <w:rPr>
          <w:rFonts w:hint="eastAsia" w:ascii="仿宋" w:hAnsi="仿宋" w:eastAsia="仿宋" w:cs="仿宋"/>
          <w:sz w:val="32"/>
          <w:szCs w:val="32"/>
        </w:rPr>
        <w:t>5.单价与总价不相符，又不接受评标委员会修正的参选总价或参选报价明显低于其他参选报价而参选人不能合理说明的；</w:t>
      </w:r>
    </w:p>
    <w:p w14:paraId="4383A594">
      <w:pPr>
        <w:ind w:firstLine="640" w:firstLineChars="200"/>
        <w:rPr>
          <w:rFonts w:ascii="仿宋" w:hAnsi="仿宋" w:eastAsia="仿宋" w:cs="仿宋"/>
          <w:sz w:val="32"/>
          <w:szCs w:val="32"/>
        </w:rPr>
      </w:pPr>
      <w:r>
        <w:rPr>
          <w:rFonts w:hint="eastAsia" w:ascii="仿宋" w:hAnsi="仿宋" w:eastAsia="仿宋" w:cs="仿宋"/>
          <w:sz w:val="32"/>
          <w:szCs w:val="32"/>
        </w:rPr>
        <w:t xml:space="preserve">6.不按要求填写参选报价表、规格及技术参数响应表，技术、商务有重大偏离或保留的； </w:t>
      </w:r>
    </w:p>
    <w:p w14:paraId="320C37B2">
      <w:pPr>
        <w:ind w:firstLine="640" w:firstLineChars="200"/>
        <w:rPr>
          <w:rFonts w:ascii="仿宋" w:hAnsi="仿宋" w:eastAsia="仿宋" w:cs="仿宋"/>
          <w:sz w:val="32"/>
          <w:szCs w:val="32"/>
        </w:rPr>
      </w:pPr>
      <w:r>
        <w:rPr>
          <w:rFonts w:hint="eastAsia" w:ascii="仿宋" w:hAnsi="仿宋" w:eastAsia="仿宋" w:cs="仿宋"/>
          <w:sz w:val="32"/>
          <w:szCs w:val="32"/>
        </w:rPr>
        <w:t>7.参选人未按要求提供资格证明文件的；</w:t>
      </w:r>
    </w:p>
    <w:p w14:paraId="6CB53D0A">
      <w:pPr>
        <w:ind w:firstLine="640" w:firstLineChars="200"/>
        <w:rPr>
          <w:rFonts w:ascii="仿宋" w:hAnsi="仿宋" w:eastAsia="仿宋" w:cs="仿宋"/>
          <w:sz w:val="32"/>
          <w:szCs w:val="32"/>
        </w:rPr>
      </w:pPr>
      <w:r>
        <w:rPr>
          <w:rFonts w:hint="eastAsia" w:ascii="仿宋" w:hAnsi="仿宋" w:eastAsia="仿宋" w:cs="仿宋"/>
          <w:sz w:val="32"/>
          <w:szCs w:val="32"/>
        </w:rPr>
        <w:t>8.参选人未能证实其具有长期的售后服务的能力并没有作出售后服务及保修期承诺函的；</w:t>
      </w:r>
    </w:p>
    <w:p w14:paraId="55F4ABF0">
      <w:pPr>
        <w:ind w:firstLine="640" w:firstLineChars="200"/>
        <w:rPr>
          <w:rFonts w:ascii="仿宋" w:hAnsi="仿宋" w:eastAsia="仿宋" w:cs="仿宋"/>
          <w:sz w:val="32"/>
          <w:szCs w:val="32"/>
        </w:rPr>
      </w:pPr>
      <w:r>
        <w:rPr>
          <w:rFonts w:hint="eastAsia" w:ascii="仿宋" w:hAnsi="仿宋" w:eastAsia="仿宋" w:cs="仿宋"/>
          <w:sz w:val="32"/>
          <w:szCs w:val="32"/>
        </w:rPr>
        <w:t>9.没有参加招标报名者；</w:t>
      </w:r>
    </w:p>
    <w:p w14:paraId="5A1A8F2E">
      <w:pPr>
        <w:ind w:firstLine="640" w:firstLineChars="200"/>
        <w:rPr>
          <w:rFonts w:ascii="仿宋" w:hAnsi="仿宋" w:eastAsia="仿宋" w:cs="仿宋"/>
          <w:sz w:val="32"/>
          <w:szCs w:val="32"/>
        </w:rPr>
      </w:pPr>
      <w:r>
        <w:rPr>
          <w:rFonts w:hint="eastAsia" w:ascii="仿宋" w:hAnsi="仿宋" w:eastAsia="仿宋" w:cs="仿宋"/>
          <w:sz w:val="32"/>
          <w:szCs w:val="32"/>
        </w:rPr>
        <w:t>10.评标委员会认为参选未实质性响应招标文件的要求（如评委成员意见不统一时，采用投票表决）。</w:t>
      </w:r>
    </w:p>
    <w:p w14:paraId="2248DE41">
      <w:pPr>
        <w:ind w:firstLine="640" w:firstLineChars="200"/>
        <w:rPr>
          <w:rFonts w:ascii="仿宋" w:hAnsi="仿宋" w:eastAsia="仿宋" w:cs="仿宋"/>
          <w:sz w:val="32"/>
          <w:szCs w:val="32"/>
        </w:rPr>
      </w:pPr>
      <w:r>
        <w:rPr>
          <w:rFonts w:hint="eastAsia" w:ascii="仿宋" w:hAnsi="仿宋" w:eastAsia="仿宋" w:cs="仿宋"/>
          <w:sz w:val="32"/>
          <w:szCs w:val="32"/>
        </w:rPr>
        <w:t>（二）定标原则：综合评分方法。</w:t>
      </w:r>
      <w:r>
        <w:rPr>
          <w:rFonts w:hint="eastAsia" w:ascii="仿宋" w:hAnsi="仿宋" w:eastAsia="仿宋"/>
          <w:sz w:val="32"/>
          <w:szCs w:val="32"/>
        </w:rPr>
        <w:t>有效参选报价综合评分最高为中选单位，综合评分相同时报价低者为中选单位</w:t>
      </w:r>
      <w:r>
        <w:rPr>
          <w:rFonts w:hint="eastAsia" w:ascii="仿宋" w:hAnsi="仿宋" w:eastAsia="仿宋" w:cs="仿宋"/>
          <w:sz w:val="32"/>
          <w:szCs w:val="32"/>
        </w:rPr>
        <w:t>。</w:t>
      </w:r>
    </w:p>
    <w:p w14:paraId="049B6C8D">
      <w:pPr>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四</w:t>
      </w:r>
      <w:r>
        <w:rPr>
          <w:rFonts w:hint="eastAsia" w:ascii="仿宋" w:hAnsi="仿宋" w:eastAsia="仿宋" w:cs="仿宋"/>
          <w:b/>
          <w:sz w:val="32"/>
          <w:szCs w:val="32"/>
        </w:rPr>
        <w:t>、参选文件的澄清和补正</w:t>
      </w:r>
    </w:p>
    <w:p w14:paraId="49C91CA9">
      <w:pPr>
        <w:ind w:firstLine="640" w:firstLineChars="200"/>
        <w:rPr>
          <w:rFonts w:ascii="仿宋" w:hAnsi="仿宋" w:eastAsia="仿宋" w:cs="仿宋"/>
          <w:sz w:val="32"/>
          <w:szCs w:val="32"/>
        </w:rPr>
      </w:pPr>
      <w:r>
        <w:rPr>
          <w:rFonts w:hint="eastAsia" w:ascii="仿宋" w:hAnsi="仿宋" w:eastAsia="仿宋" w:cs="仿宋"/>
          <w:sz w:val="32"/>
          <w:szCs w:val="32"/>
        </w:rPr>
        <w:t>（一）在评选过程，评选委员会可以书面形式要求参与比选人对所提交的参选文件中不明确的内容进行书面澄清或说明，或者对细微偏差进行补正，评选委员会不接受参与比选人主动提出的澄清，说明或者补正。</w:t>
      </w:r>
    </w:p>
    <w:p w14:paraId="7FD584A2">
      <w:pPr>
        <w:ind w:firstLine="640" w:firstLineChars="200"/>
        <w:rPr>
          <w:rFonts w:ascii="仿宋" w:hAnsi="仿宋" w:eastAsia="仿宋" w:cs="仿宋"/>
          <w:sz w:val="32"/>
          <w:szCs w:val="32"/>
        </w:rPr>
      </w:pPr>
      <w:r>
        <w:rPr>
          <w:rFonts w:hint="eastAsia" w:ascii="仿宋" w:hAnsi="仿宋" w:eastAsia="仿宋" w:cs="仿宋"/>
          <w:sz w:val="32"/>
          <w:szCs w:val="32"/>
        </w:rPr>
        <w:t>（二）澄清、说明和补正不得改变参选文件的实质性内容（算术性错误修正的除外）。参与比选人的书面澄清、说明和补正属于参选文件的组成部分。</w:t>
      </w:r>
    </w:p>
    <w:p w14:paraId="51F56D8C">
      <w:pPr>
        <w:ind w:firstLine="640" w:firstLineChars="200"/>
        <w:rPr>
          <w:rFonts w:hint="eastAsia" w:ascii="仿宋" w:hAnsi="仿宋" w:eastAsia="仿宋" w:cs="仿宋"/>
          <w:sz w:val="32"/>
          <w:szCs w:val="32"/>
        </w:rPr>
      </w:pPr>
      <w:r>
        <w:rPr>
          <w:rFonts w:hint="eastAsia" w:ascii="仿宋" w:hAnsi="仿宋" w:eastAsia="仿宋" w:cs="仿宋"/>
          <w:sz w:val="32"/>
          <w:szCs w:val="32"/>
        </w:rPr>
        <w:t>（三）评选委员会对参与比选人提交的澄清、说明或补正有疑问的，可以要求参与比选人进一步澄清说明或补正，直至满足评选委员会的要求。</w:t>
      </w:r>
    </w:p>
    <w:p w14:paraId="71A2AB1F">
      <w:pPr>
        <w:ind w:firstLine="640" w:firstLineChars="200"/>
        <w:rPr>
          <w:rFonts w:hint="eastAsia" w:ascii="仿宋" w:hAnsi="仿宋" w:eastAsia="仿宋" w:cs="仿宋"/>
          <w:sz w:val="32"/>
          <w:szCs w:val="32"/>
        </w:rPr>
      </w:pPr>
    </w:p>
    <w:p w14:paraId="5AABAEF3">
      <w:pPr>
        <w:ind w:firstLine="640" w:firstLineChars="200"/>
        <w:rPr>
          <w:rFonts w:hint="eastAsia" w:ascii="仿宋" w:hAnsi="仿宋" w:eastAsia="仿宋" w:cs="仿宋"/>
          <w:sz w:val="32"/>
          <w:szCs w:val="32"/>
        </w:rPr>
      </w:pPr>
    </w:p>
    <w:p w14:paraId="32BA02D4">
      <w:pPr>
        <w:jc w:val="center"/>
        <w:rPr>
          <w:rFonts w:hint="eastAsia" w:ascii="黑体" w:hAnsi="黑体" w:eastAsia="宋体" w:cs="仿宋"/>
          <w:b/>
          <w:sz w:val="36"/>
          <w:szCs w:val="32"/>
          <w:lang w:val="en-US" w:eastAsia="zh-CN"/>
        </w:rPr>
      </w:pPr>
      <w:r>
        <w:rPr>
          <w:rFonts w:hint="eastAsia"/>
          <w:b/>
          <w:sz w:val="32"/>
          <w:szCs w:val="32"/>
        </w:rPr>
        <w:t>第</w:t>
      </w:r>
      <w:r>
        <w:rPr>
          <w:rFonts w:hint="eastAsia"/>
          <w:b/>
          <w:sz w:val="32"/>
          <w:szCs w:val="32"/>
          <w:lang w:val="en-US" w:eastAsia="zh-CN"/>
        </w:rPr>
        <w:t>三</w:t>
      </w:r>
      <w:r>
        <w:rPr>
          <w:rFonts w:hint="eastAsia"/>
          <w:b/>
          <w:sz w:val="32"/>
          <w:szCs w:val="32"/>
        </w:rPr>
        <w:t>部分</w:t>
      </w:r>
      <w:r>
        <w:rPr>
          <w:rFonts w:hint="eastAsia" w:ascii="黑体" w:hAnsi="黑体" w:eastAsia="黑体" w:cs="仿宋"/>
          <w:b/>
          <w:sz w:val="36"/>
          <w:szCs w:val="32"/>
        </w:rPr>
        <w:t xml:space="preserve"> </w:t>
      </w:r>
      <w:r>
        <w:rPr>
          <w:rFonts w:hint="eastAsia"/>
          <w:b/>
          <w:sz w:val="32"/>
          <w:szCs w:val="32"/>
          <w:lang w:val="en-US" w:eastAsia="zh-CN"/>
        </w:rPr>
        <w:t>选定方式</w:t>
      </w:r>
    </w:p>
    <w:p w14:paraId="36D06867">
      <w:pPr>
        <w:ind w:firstLine="643" w:firstLineChars="200"/>
        <w:rPr>
          <w:rFonts w:ascii="仿宋" w:hAnsi="仿宋" w:eastAsia="仿宋" w:cs="仿宋"/>
          <w:b/>
          <w:sz w:val="32"/>
          <w:szCs w:val="32"/>
        </w:rPr>
      </w:pPr>
      <w:r>
        <w:rPr>
          <w:rFonts w:hint="eastAsia" w:ascii="仿宋" w:hAnsi="仿宋" w:eastAsia="仿宋" w:cs="仿宋"/>
          <w:b/>
          <w:sz w:val="32"/>
          <w:szCs w:val="32"/>
        </w:rPr>
        <w:t>一、评审确定中标候选人</w:t>
      </w:r>
    </w:p>
    <w:p w14:paraId="7F47D337">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（一）严格按照“招标文件”的要求和条件进行评标，择优定标。</w:t>
      </w:r>
    </w:p>
    <w:p w14:paraId="58522903">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（二）评标结束后，采购人根据评标报告和授标建议书推荐的中标候选参选人确定中标人。</w:t>
      </w:r>
    </w:p>
    <w:p w14:paraId="7684226D">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三）如果中选人不能按照招标文件的要求及参选文件的承诺签订合同或中选人的参选文件与事实不符，采购人可以取消中标人的中选资格并将合同授予另一中标候选人，或者依法重新招标或采取其他采购方式。采购人对影响的参选人不承担任何责任。</w:t>
      </w:r>
    </w:p>
    <w:p w14:paraId="771DF32C">
      <w:pPr>
        <w:spacing w:line="360" w:lineRule="auto"/>
        <w:ind w:firstLine="643" w:firstLineChars="200"/>
        <w:jc w:val="left"/>
        <w:rPr>
          <w:rFonts w:ascii="仿宋" w:hAnsi="仿宋" w:eastAsia="仿宋" w:cs="仿宋"/>
          <w:b/>
          <w:sz w:val="32"/>
          <w:szCs w:val="32"/>
        </w:rPr>
      </w:pPr>
      <w:r>
        <w:rPr>
          <w:rFonts w:hint="eastAsia" w:ascii="仿宋" w:hAnsi="仿宋" w:eastAsia="仿宋" w:cs="仿宋"/>
          <w:b/>
          <w:sz w:val="32"/>
          <w:szCs w:val="32"/>
        </w:rPr>
        <w:t>二、评选标准</w:t>
      </w:r>
    </w:p>
    <w:p w14:paraId="1F3AD13D">
      <w:pPr>
        <w:spacing w:line="360" w:lineRule="auto"/>
        <w:ind w:firstLine="640" w:firstLineChars="200"/>
        <w:jc w:val="left"/>
      </w:pPr>
      <w:r>
        <w:rPr>
          <w:rFonts w:hint="eastAsia" w:ascii="仿宋" w:hAnsi="仿宋" w:eastAsia="仿宋" w:cs="仿宋"/>
          <w:bCs/>
          <w:kern w:val="0"/>
          <w:sz w:val="32"/>
          <w:szCs w:val="32"/>
        </w:rPr>
        <w:t>选择方式如下</w:t>
      </w:r>
      <w:r>
        <w:rPr>
          <w:rFonts w:hint="eastAsia" w:ascii="仿宋" w:hAnsi="仿宋" w:eastAsia="仿宋" w:cs="仿宋"/>
          <w:bCs/>
          <w:kern w:val="0"/>
          <w:sz w:val="32"/>
          <w:szCs w:val="32"/>
          <w:lang w:eastAsia="zh-CN"/>
        </w:rPr>
        <w:t>：在</w:t>
      </w:r>
      <w:r>
        <w:rPr>
          <w:rFonts w:hint="eastAsia" w:ascii="仿宋" w:hAnsi="仿宋" w:eastAsia="仿宋" w:cs="仿宋"/>
          <w:bCs/>
          <w:sz w:val="32"/>
          <w:szCs w:val="32"/>
        </w:rPr>
        <w:t>符合资格要求的情况下，由评审专家小组按以下评分细则综合比较，在符合条件的单位中，选择综合能力强、业绩和信用良好的1名中标人。</w:t>
      </w:r>
    </w:p>
    <w:p w14:paraId="78484E4C">
      <w:pPr>
        <w:pStyle w:val="8"/>
        <w:jc w:val="center"/>
        <w:rPr>
          <w:rFonts w:hint="eastAsia" w:ascii="仿宋" w:hAnsi="仿宋" w:eastAsia="仿宋"/>
          <w:sz w:val="32"/>
        </w:rPr>
      </w:pPr>
      <w:r>
        <w:rPr>
          <w:rFonts w:hint="eastAsia" w:ascii="仿宋" w:hAnsi="仿宋" w:eastAsia="仿宋"/>
          <w:sz w:val="32"/>
        </w:rPr>
        <w:t>综合评分表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586"/>
        <w:gridCol w:w="456"/>
        <w:gridCol w:w="7418"/>
      </w:tblGrid>
      <w:tr w14:paraId="6A02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40" w:type="dxa"/>
            <w:gridSpan w:val="2"/>
            <w:noWrap w:val="0"/>
            <w:vAlign w:val="center"/>
          </w:tcPr>
          <w:p w14:paraId="6C233FAF">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分项名称</w:t>
            </w:r>
          </w:p>
        </w:tc>
        <w:tc>
          <w:tcPr>
            <w:tcW w:w="469" w:type="dxa"/>
            <w:noWrap w:val="0"/>
            <w:vAlign w:val="center"/>
          </w:tcPr>
          <w:p w14:paraId="75BCFE05">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分值</w:t>
            </w:r>
          </w:p>
        </w:tc>
        <w:tc>
          <w:tcPr>
            <w:tcW w:w="0" w:type="auto"/>
            <w:noWrap w:val="0"/>
            <w:vAlign w:val="center"/>
          </w:tcPr>
          <w:p w14:paraId="20AFCBFC">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评分标准</w:t>
            </w:r>
          </w:p>
        </w:tc>
      </w:tr>
      <w:tr w14:paraId="5E89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40" w:type="dxa"/>
            <w:gridSpan w:val="2"/>
            <w:noWrap w:val="0"/>
            <w:vAlign w:val="center"/>
          </w:tcPr>
          <w:p w14:paraId="0EF53704">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价格部分（</w:t>
            </w:r>
            <w:r>
              <w:rPr>
                <w:rFonts w:hint="eastAsia" w:ascii="仿宋" w:hAnsi="仿宋" w:eastAsia="仿宋" w:cs="仿宋"/>
                <w:bCs/>
                <w:color w:val="auto"/>
                <w:sz w:val="22"/>
                <w:szCs w:val="22"/>
                <w:lang w:val="en-US" w:eastAsia="zh-CN"/>
              </w:rPr>
              <w:t>10</w:t>
            </w:r>
            <w:r>
              <w:rPr>
                <w:rFonts w:hint="eastAsia" w:ascii="仿宋" w:hAnsi="仿宋" w:eastAsia="仿宋" w:cs="仿宋"/>
                <w:bCs/>
                <w:color w:val="auto"/>
                <w:sz w:val="22"/>
                <w:szCs w:val="22"/>
              </w:rPr>
              <w:t>分）</w:t>
            </w:r>
          </w:p>
        </w:tc>
        <w:tc>
          <w:tcPr>
            <w:tcW w:w="469" w:type="dxa"/>
            <w:noWrap w:val="0"/>
            <w:vAlign w:val="center"/>
          </w:tcPr>
          <w:p w14:paraId="3AEB4443">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1</w:t>
            </w:r>
            <w:r>
              <w:rPr>
                <w:rFonts w:hint="eastAsia" w:ascii="仿宋" w:hAnsi="仿宋" w:eastAsia="仿宋" w:cs="仿宋"/>
                <w:bCs/>
                <w:color w:val="auto"/>
                <w:sz w:val="22"/>
                <w:szCs w:val="22"/>
              </w:rPr>
              <w:t>0分</w:t>
            </w:r>
          </w:p>
        </w:tc>
        <w:tc>
          <w:tcPr>
            <w:tcW w:w="0" w:type="auto"/>
            <w:noWrap w:val="0"/>
            <w:vAlign w:val="center"/>
          </w:tcPr>
          <w:p w14:paraId="2364DB48">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1.评标基准价：满足招标文件要求且投标价格最低的投标报价为评标基准价，评标基准价为满分</w:t>
            </w:r>
            <w:r>
              <w:rPr>
                <w:rFonts w:hint="eastAsia" w:ascii="仿宋" w:hAnsi="仿宋" w:eastAsia="仿宋" w:cs="仿宋"/>
                <w:bCs/>
                <w:color w:val="auto"/>
                <w:sz w:val="22"/>
                <w:szCs w:val="22"/>
                <w:lang w:val="en-US" w:eastAsia="zh-CN"/>
              </w:rPr>
              <w:t>10</w:t>
            </w:r>
            <w:r>
              <w:rPr>
                <w:rFonts w:hint="eastAsia" w:ascii="仿宋" w:hAnsi="仿宋" w:eastAsia="仿宋" w:cs="仿宋"/>
                <w:bCs/>
                <w:color w:val="auto"/>
                <w:sz w:val="22"/>
                <w:szCs w:val="22"/>
                <w:lang w:eastAsia="zh-Hans"/>
              </w:rPr>
              <w:t>分。</w:t>
            </w:r>
          </w:p>
          <w:p w14:paraId="23F17D15">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2.其他投标供应商的投标报价得分按照下列公式计算：投标报价得分=（评标基准价／投标报价）×</w:t>
            </w:r>
            <w:r>
              <w:rPr>
                <w:rFonts w:hint="eastAsia" w:ascii="仿宋" w:hAnsi="仿宋" w:eastAsia="仿宋" w:cs="仿宋"/>
                <w:bCs/>
                <w:color w:val="auto"/>
                <w:sz w:val="22"/>
                <w:szCs w:val="22"/>
                <w:lang w:val="en-US" w:eastAsia="zh-CN"/>
              </w:rPr>
              <w:t>1</w:t>
            </w:r>
            <w:r>
              <w:rPr>
                <w:rFonts w:hint="eastAsia" w:ascii="仿宋" w:hAnsi="仿宋" w:eastAsia="仿宋" w:cs="仿宋"/>
                <w:bCs/>
                <w:color w:val="auto"/>
                <w:sz w:val="22"/>
                <w:szCs w:val="22"/>
              </w:rPr>
              <w:t>0</w:t>
            </w:r>
            <w:r>
              <w:rPr>
                <w:rFonts w:hint="eastAsia" w:ascii="仿宋" w:hAnsi="仿宋" w:eastAsia="仿宋" w:cs="仿宋"/>
                <w:bCs/>
                <w:color w:val="auto"/>
                <w:sz w:val="22"/>
                <w:szCs w:val="22"/>
                <w:lang w:eastAsia="zh-Hans"/>
              </w:rPr>
              <w:t>。</w:t>
            </w:r>
          </w:p>
          <w:p w14:paraId="28F55C82">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3.得分保留至小数点后二位。</w:t>
            </w:r>
          </w:p>
        </w:tc>
      </w:tr>
      <w:tr w14:paraId="51E6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restart"/>
            <w:noWrap w:val="0"/>
            <w:vAlign w:val="center"/>
          </w:tcPr>
          <w:p w14:paraId="6107894E">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技术部分（</w:t>
            </w:r>
            <w:r>
              <w:rPr>
                <w:rFonts w:hint="eastAsia" w:ascii="仿宋" w:hAnsi="仿宋" w:eastAsia="仿宋" w:cs="仿宋"/>
                <w:bCs/>
                <w:color w:val="auto"/>
                <w:sz w:val="22"/>
                <w:szCs w:val="22"/>
                <w:lang w:val="en-US" w:eastAsia="zh-CN"/>
              </w:rPr>
              <w:t>75</w:t>
            </w:r>
            <w:r>
              <w:rPr>
                <w:rFonts w:hint="eastAsia" w:ascii="仿宋" w:hAnsi="仿宋" w:eastAsia="仿宋" w:cs="仿宋"/>
                <w:bCs/>
                <w:color w:val="auto"/>
                <w:sz w:val="22"/>
                <w:szCs w:val="22"/>
              </w:rPr>
              <w:t>分）</w:t>
            </w:r>
          </w:p>
        </w:tc>
        <w:tc>
          <w:tcPr>
            <w:tcW w:w="684" w:type="dxa"/>
            <w:noWrap w:val="0"/>
            <w:vAlign w:val="center"/>
          </w:tcPr>
          <w:p w14:paraId="17EB3BF6">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整体方案设计</w:t>
            </w:r>
          </w:p>
        </w:tc>
        <w:tc>
          <w:tcPr>
            <w:tcW w:w="469" w:type="dxa"/>
            <w:noWrap w:val="0"/>
            <w:vAlign w:val="center"/>
          </w:tcPr>
          <w:p w14:paraId="44537268">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20</w:t>
            </w:r>
            <w:r>
              <w:rPr>
                <w:rFonts w:hint="eastAsia" w:ascii="仿宋" w:hAnsi="仿宋" w:eastAsia="仿宋" w:cs="仿宋"/>
                <w:bCs/>
                <w:color w:val="auto"/>
                <w:sz w:val="22"/>
                <w:szCs w:val="22"/>
              </w:rPr>
              <w:t>分</w:t>
            </w:r>
          </w:p>
        </w:tc>
        <w:tc>
          <w:tcPr>
            <w:tcW w:w="0" w:type="auto"/>
            <w:noWrap w:val="0"/>
            <w:vAlign w:val="center"/>
          </w:tcPr>
          <w:p w14:paraId="7C9B698C">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rPr>
              <w:t>根据投标人提供的项目实施方案进行综合评分。方案内容包括但不限于： 1）项目理解： ①简述对本项目背景、目标、需求等的理解。 2）项目技术方案: ①总体技术方案；②总体技术架构； 3）项目实施方案： ①软件部署方案；②软件数据对接方案。 方案中包含以上要求的5项全部内容，方案科学合理，表述条理清晰，服务定位明确，各项内容具体、针对性强、措施可行，能完全满足采购人的要求得</w:t>
            </w:r>
            <w:r>
              <w:rPr>
                <w:rFonts w:hint="eastAsia" w:ascii="仿宋" w:hAnsi="仿宋" w:eastAsia="仿宋" w:cs="仿宋"/>
                <w:bCs/>
                <w:color w:val="auto"/>
                <w:sz w:val="22"/>
                <w:szCs w:val="22"/>
                <w:lang w:val="en-US" w:eastAsia="zh-CN"/>
              </w:rPr>
              <w:t>20</w:t>
            </w:r>
            <w:r>
              <w:rPr>
                <w:rFonts w:hint="eastAsia" w:ascii="仿宋" w:hAnsi="仿宋" w:eastAsia="仿宋" w:cs="仿宋"/>
                <w:bCs/>
                <w:color w:val="auto"/>
                <w:sz w:val="22"/>
                <w:szCs w:val="22"/>
              </w:rPr>
              <w:t>分，每缺少一项内容扣</w:t>
            </w:r>
            <w:r>
              <w:rPr>
                <w:rFonts w:hint="eastAsia" w:ascii="仿宋" w:hAnsi="仿宋" w:eastAsia="仿宋" w:cs="仿宋"/>
                <w:bCs/>
                <w:color w:val="auto"/>
                <w:sz w:val="22"/>
                <w:szCs w:val="22"/>
                <w:lang w:val="en-US" w:eastAsia="zh-CN"/>
              </w:rPr>
              <w:t>4</w:t>
            </w:r>
            <w:r>
              <w:rPr>
                <w:rFonts w:hint="eastAsia" w:ascii="仿宋" w:hAnsi="仿宋" w:eastAsia="仿宋" w:cs="仿宋"/>
                <w:bCs/>
                <w:color w:val="auto"/>
                <w:sz w:val="22"/>
                <w:szCs w:val="22"/>
              </w:rPr>
              <w:t>分，</w:t>
            </w:r>
            <w:bookmarkStart w:id="0" w:name="_Hlk203610322"/>
            <w:r>
              <w:rPr>
                <w:rFonts w:hint="eastAsia" w:ascii="仿宋" w:hAnsi="仿宋" w:eastAsia="仿宋" w:cs="仿宋"/>
                <w:bCs/>
                <w:color w:val="auto"/>
                <w:sz w:val="22"/>
                <w:szCs w:val="22"/>
              </w:rPr>
              <w:t>对于项目背景、目标、需求等的理解偏离的，或缺少关键部分的视为缺陷</w:t>
            </w:r>
            <w:bookmarkEnd w:id="0"/>
            <w:r>
              <w:rPr>
                <w:rFonts w:hint="eastAsia" w:ascii="仿宋" w:hAnsi="仿宋" w:eastAsia="仿宋" w:cs="仿宋"/>
                <w:bCs/>
                <w:color w:val="auto"/>
                <w:sz w:val="22"/>
                <w:szCs w:val="22"/>
              </w:rPr>
              <w:t>每项内容存在一处缺陷扣</w:t>
            </w:r>
            <w:r>
              <w:rPr>
                <w:rFonts w:hint="eastAsia" w:ascii="仿宋" w:hAnsi="仿宋" w:eastAsia="仿宋" w:cs="仿宋"/>
                <w:bCs/>
                <w:color w:val="auto"/>
                <w:sz w:val="22"/>
                <w:szCs w:val="22"/>
                <w:lang w:val="en-US" w:eastAsia="zh-CN"/>
              </w:rPr>
              <w:t>2</w:t>
            </w:r>
            <w:r>
              <w:rPr>
                <w:rFonts w:hint="eastAsia" w:ascii="仿宋" w:hAnsi="仿宋" w:eastAsia="仿宋" w:cs="仿宋"/>
                <w:bCs/>
                <w:color w:val="auto"/>
                <w:sz w:val="22"/>
                <w:szCs w:val="22"/>
              </w:rPr>
              <w:t>分，每项最多扣</w:t>
            </w:r>
            <w:r>
              <w:rPr>
                <w:rFonts w:hint="eastAsia" w:ascii="仿宋" w:hAnsi="仿宋" w:eastAsia="仿宋" w:cs="仿宋"/>
                <w:bCs/>
                <w:color w:val="auto"/>
                <w:sz w:val="22"/>
                <w:szCs w:val="22"/>
                <w:lang w:val="en-US" w:eastAsia="zh-CN"/>
              </w:rPr>
              <w:t>4</w:t>
            </w:r>
            <w:r>
              <w:rPr>
                <w:rFonts w:hint="eastAsia" w:ascii="仿宋" w:hAnsi="仿宋" w:eastAsia="仿宋" w:cs="仿宋"/>
                <w:bCs/>
                <w:color w:val="auto"/>
                <w:sz w:val="22"/>
                <w:szCs w:val="22"/>
              </w:rPr>
              <w:t xml:space="preserve">分； </w:t>
            </w:r>
          </w:p>
        </w:tc>
      </w:tr>
      <w:tr w14:paraId="0D1E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55653B0A">
            <w:pPr>
              <w:spacing w:line="320" w:lineRule="exact"/>
              <w:jc w:val="center"/>
              <w:rPr>
                <w:rFonts w:hint="eastAsia" w:ascii="仿宋" w:hAnsi="仿宋" w:eastAsia="仿宋" w:cs="仿宋"/>
                <w:bCs/>
                <w:color w:val="auto"/>
                <w:sz w:val="22"/>
                <w:szCs w:val="22"/>
              </w:rPr>
            </w:pPr>
          </w:p>
        </w:tc>
        <w:tc>
          <w:tcPr>
            <w:tcW w:w="684" w:type="dxa"/>
            <w:noWrap w:val="0"/>
            <w:vAlign w:val="center"/>
          </w:tcPr>
          <w:p w14:paraId="77EBFA52">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售后服务方案</w:t>
            </w:r>
          </w:p>
        </w:tc>
        <w:tc>
          <w:tcPr>
            <w:tcW w:w="469" w:type="dxa"/>
            <w:noWrap w:val="0"/>
            <w:vAlign w:val="center"/>
          </w:tcPr>
          <w:p w14:paraId="06692416">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20</w:t>
            </w:r>
            <w:r>
              <w:rPr>
                <w:rFonts w:hint="eastAsia" w:ascii="仿宋" w:hAnsi="仿宋" w:eastAsia="仿宋" w:cs="仿宋"/>
                <w:bCs/>
                <w:color w:val="auto"/>
                <w:sz w:val="22"/>
                <w:szCs w:val="22"/>
              </w:rPr>
              <w:t>分</w:t>
            </w:r>
          </w:p>
        </w:tc>
        <w:tc>
          <w:tcPr>
            <w:tcW w:w="0" w:type="auto"/>
            <w:noWrap w:val="0"/>
            <w:vAlign w:val="center"/>
          </w:tcPr>
          <w:p w14:paraId="37E5D3C5">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评标委员会根据投标人提供的服务方案进行评分。</w:t>
            </w:r>
          </w:p>
          <w:p w14:paraId="28EC2F32">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售后服务方案包括但不限于应急响应、培训计划、本地化服务承诺等方面。设置应急响应、技术培训、本地化服务、质保运维4个子项，每项5分，合计20分。未提供售后服务方案，本项得0分。</w:t>
            </w:r>
          </w:p>
          <w:p w14:paraId="35C4F401">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1、</w:t>
            </w:r>
            <w:r>
              <w:rPr>
                <w:rFonts w:hint="eastAsia" w:ascii="仿宋" w:hAnsi="仿宋" w:eastAsia="仿宋" w:cs="仿宋"/>
                <w:bCs/>
                <w:color w:val="auto"/>
                <w:sz w:val="22"/>
                <w:szCs w:val="22"/>
              </w:rPr>
              <w:t>应急响应（5分）</w:t>
            </w:r>
          </w:p>
          <w:p w14:paraId="1F9F651A">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A（5分）：7×12小时技术值守，故障分级管理；紧急故障1小时响应、4小时远程排查、24小时内到达现场处置</w:t>
            </w:r>
          </w:p>
          <w:p w14:paraId="7BDD594D">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B（3分）：7×8小时技术支持；紧急故障4小时响应、8小时远程排查、48小时内到达现场处置</w:t>
            </w:r>
          </w:p>
          <w:p w14:paraId="4223854B">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C（1分）：仅工作日提供技术受理，紧急故障24小时内响应，无明确到场时限承诺</w:t>
            </w:r>
          </w:p>
          <w:p w14:paraId="2DC49209">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2、</w:t>
            </w:r>
            <w:r>
              <w:rPr>
                <w:rFonts w:hint="eastAsia" w:ascii="仿宋" w:hAnsi="仿宋" w:eastAsia="仿宋" w:cs="仿宋"/>
                <w:bCs/>
                <w:color w:val="auto"/>
                <w:sz w:val="22"/>
                <w:szCs w:val="22"/>
              </w:rPr>
              <w:t>技术培训（5分）</w:t>
            </w:r>
          </w:p>
          <w:p w14:paraId="00EF8039">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A（5分）：</w:t>
            </w:r>
            <w:r>
              <w:rPr>
                <w:rFonts w:hint="eastAsia" w:ascii="仿宋" w:hAnsi="仿宋" w:eastAsia="仿宋" w:cs="仿宋"/>
                <w:bCs/>
                <w:color w:val="auto"/>
                <w:sz w:val="22"/>
                <w:szCs w:val="22"/>
                <w:lang w:val="en-US" w:eastAsia="zh-CN"/>
              </w:rPr>
              <w:t>3轮</w:t>
            </w:r>
            <w:r>
              <w:rPr>
                <w:rFonts w:hint="eastAsia" w:ascii="仿宋" w:hAnsi="仿宋" w:eastAsia="仿宋" w:cs="仿宋"/>
                <w:bCs/>
                <w:color w:val="auto"/>
                <w:sz w:val="22"/>
                <w:szCs w:val="22"/>
              </w:rPr>
              <w:t>线上</w:t>
            </w:r>
            <w:r>
              <w:rPr>
                <w:rFonts w:hint="eastAsia" w:ascii="仿宋" w:hAnsi="仿宋" w:eastAsia="仿宋" w:cs="仿宋"/>
                <w:bCs/>
                <w:color w:val="auto"/>
                <w:sz w:val="22"/>
                <w:szCs w:val="22"/>
                <w:lang w:val="en-US" w:eastAsia="zh-CN"/>
              </w:rPr>
              <w:t>+3轮</w:t>
            </w:r>
            <w:r>
              <w:rPr>
                <w:rFonts w:hint="eastAsia" w:ascii="仿宋" w:hAnsi="仿宋" w:eastAsia="仿宋" w:cs="仿宋"/>
                <w:bCs/>
                <w:color w:val="auto"/>
                <w:sz w:val="22"/>
                <w:szCs w:val="22"/>
              </w:rPr>
              <w:t>线下实操培训，配套课件、操作手册、教学视频</w:t>
            </w:r>
          </w:p>
          <w:p w14:paraId="40ADC83B">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B（3分）：</w:t>
            </w:r>
            <w:r>
              <w:rPr>
                <w:rFonts w:hint="eastAsia" w:ascii="仿宋" w:hAnsi="仿宋" w:eastAsia="仿宋" w:cs="仿宋"/>
                <w:bCs/>
                <w:color w:val="auto"/>
                <w:sz w:val="22"/>
                <w:szCs w:val="22"/>
                <w:lang w:val="en-US" w:eastAsia="zh-CN"/>
              </w:rPr>
              <w:t>单次</w:t>
            </w:r>
            <w:r>
              <w:rPr>
                <w:rFonts w:hint="eastAsia" w:ascii="仿宋" w:hAnsi="仿宋" w:eastAsia="仿宋" w:cs="仿宋"/>
                <w:bCs/>
                <w:color w:val="auto"/>
                <w:sz w:val="22"/>
                <w:szCs w:val="22"/>
              </w:rPr>
              <w:t>线上培训+</w:t>
            </w:r>
            <w:r>
              <w:rPr>
                <w:rFonts w:hint="eastAsia" w:ascii="仿宋" w:hAnsi="仿宋" w:eastAsia="仿宋" w:cs="仿宋"/>
                <w:bCs/>
                <w:color w:val="auto"/>
                <w:sz w:val="22"/>
                <w:szCs w:val="22"/>
                <w:lang w:val="en-US" w:eastAsia="zh-CN"/>
              </w:rPr>
              <w:t>1</w:t>
            </w:r>
            <w:r>
              <w:rPr>
                <w:rFonts w:hint="eastAsia" w:ascii="仿宋" w:hAnsi="仿宋" w:eastAsia="仿宋" w:cs="仿宋"/>
                <w:bCs/>
                <w:color w:val="auto"/>
                <w:sz w:val="22"/>
                <w:szCs w:val="22"/>
              </w:rPr>
              <w:t>次线下实操培训，提供完整操作手册</w:t>
            </w:r>
          </w:p>
          <w:p w14:paraId="1F306205">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C（1分）：仅单次线上培训，只提供简易文档</w:t>
            </w:r>
          </w:p>
          <w:p w14:paraId="35796DC8">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3、</w:t>
            </w:r>
            <w:r>
              <w:rPr>
                <w:rFonts w:hint="eastAsia" w:ascii="仿宋" w:hAnsi="仿宋" w:eastAsia="仿宋" w:cs="仿宋"/>
                <w:bCs/>
                <w:color w:val="auto"/>
                <w:sz w:val="22"/>
                <w:szCs w:val="22"/>
              </w:rPr>
              <w:t>本地化服务（5分）</w:t>
            </w:r>
          </w:p>
          <w:p w14:paraId="1F9E0B8A">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A</w:t>
            </w:r>
            <w:r>
              <w:rPr>
                <w:rFonts w:hint="eastAsia" w:ascii="仿宋" w:hAnsi="仿宋" w:eastAsia="仿宋" w:cs="仿宋"/>
                <w:bCs/>
                <w:color w:val="auto"/>
                <w:sz w:val="22"/>
                <w:szCs w:val="22"/>
                <w:lang w:eastAsia="zh-CN"/>
              </w:rPr>
              <w:t>（</w:t>
            </w:r>
            <w:r>
              <w:rPr>
                <w:rFonts w:hint="eastAsia" w:ascii="仿宋" w:hAnsi="仿宋" w:eastAsia="仿宋" w:cs="仿宋"/>
                <w:bCs/>
                <w:color w:val="auto"/>
                <w:sz w:val="22"/>
                <w:szCs w:val="22"/>
              </w:rPr>
              <w:t>5分</w:t>
            </w:r>
            <w:r>
              <w:rPr>
                <w:rFonts w:hint="eastAsia" w:ascii="仿宋" w:hAnsi="仿宋" w:eastAsia="仿宋" w:cs="仿宋"/>
                <w:bCs/>
                <w:color w:val="auto"/>
                <w:sz w:val="22"/>
                <w:szCs w:val="22"/>
                <w:lang w:eastAsia="zh-CN"/>
              </w:rPr>
              <w:t>）</w:t>
            </w:r>
            <w:r>
              <w:rPr>
                <w:rFonts w:hint="eastAsia" w:ascii="仿宋" w:hAnsi="仿宋" w:eastAsia="仿宋" w:cs="仿宋"/>
                <w:bCs/>
                <w:color w:val="auto"/>
                <w:sz w:val="22"/>
                <w:szCs w:val="22"/>
              </w:rPr>
              <w:t>：本地设有服务团队/办事点，可快速上门，配备常驻技术人员</w:t>
            </w:r>
          </w:p>
          <w:p w14:paraId="0122B8D0">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B</w:t>
            </w:r>
            <w:r>
              <w:rPr>
                <w:rFonts w:hint="eastAsia" w:ascii="仿宋" w:hAnsi="仿宋" w:eastAsia="仿宋" w:cs="仿宋"/>
                <w:bCs/>
                <w:color w:val="auto"/>
                <w:sz w:val="22"/>
                <w:szCs w:val="22"/>
                <w:lang w:eastAsia="zh-CN"/>
              </w:rPr>
              <w:t>（</w:t>
            </w:r>
            <w:r>
              <w:rPr>
                <w:rFonts w:hint="eastAsia" w:ascii="仿宋" w:hAnsi="仿宋" w:eastAsia="仿宋" w:cs="仿宋"/>
                <w:bCs/>
                <w:color w:val="auto"/>
                <w:sz w:val="22"/>
                <w:szCs w:val="22"/>
              </w:rPr>
              <w:t>3分</w:t>
            </w:r>
            <w:r>
              <w:rPr>
                <w:rFonts w:hint="eastAsia" w:ascii="仿宋" w:hAnsi="仿宋" w:eastAsia="仿宋" w:cs="仿宋"/>
                <w:bCs/>
                <w:color w:val="auto"/>
                <w:sz w:val="22"/>
                <w:szCs w:val="22"/>
                <w:lang w:eastAsia="zh-CN"/>
              </w:rPr>
              <w:t>）</w:t>
            </w:r>
            <w:r>
              <w:rPr>
                <w:rFonts w:hint="eastAsia" w:ascii="仿宋" w:hAnsi="仿宋" w:eastAsia="仿宋" w:cs="仿宋"/>
                <w:bCs/>
                <w:color w:val="auto"/>
                <w:sz w:val="22"/>
                <w:szCs w:val="22"/>
              </w:rPr>
              <w:t>：本地有合作技术人员，接到通知后可赶赴现场服务</w:t>
            </w:r>
          </w:p>
          <w:p w14:paraId="130E967A">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C</w:t>
            </w:r>
            <w:r>
              <w:rPr>
                <w:rFonts w:hint="eastAsia" w:ascii="仿宋" w:hAnsi="仿宋" w:eastAsia="仿宋" w:cs="仿宋"/>
                <w:bCs/>
                <w:color w:val="auto"/>
                <w:sz w:val="22"/>
                <w:szCs w:val="22"/>
                <w:lang w:eastAsia="zh-CN"/>
              </w:rPr>
              <w:t>（</w:t>
            </w:r>
            <w:r>
              <w:rPr>
                <w:rFonts w:hint="eastAsia" w:ascii="仿宋" w:hAnsi="仿宋" w:eastAsia="仿宋" w:cs="仿宋"/>
                <w:bCs/>
                <w:color w:val="auto"/>
                <w:sz w:val="22"/>
                <w:szCs w:val="22"/>
              </w:rPr>
              <w:t>1分</w:t>
            </w:r>
            <w:r>
              <w:rPr>
                <w:rFonts w:hint="eastAsia" w:ascii="仿宋" w:hAnsi="仿宋" w:eastAsia="仿宋" w:cs="仿宋"/>
                <w:bCs/>
                <w:color w:val="auto"/>
                <w:sz w:val="22"/>
                <w:szCs w:val="22"/>
                <w:lang w:eastAsia="zh-CN"/>
              </w:rPr>
              <w:t>）</w:t>
            </w:r>
            <w:r>
              <w:rPr>
                <w:rFonts w:hint="eastAsia" w:ascii="仿宋" w:hAnsi="仿宋" w:eastAsia="仿宋" w:cs="仿宋"/>
                <w:bCs/>
                <w:color w:val="auto"/>
                <w:sz w:val="22"/>
                <w:szCs w:val="22"/>
              </w:rPr>
              <w:t>：无本地服务力量，</w:t>
            </w:r>
            <w:r>
              <w:rPr>
                <w:rFonts w:hint="eastAsia" w:ascii="仿宋" w:hAnsi="仿宋" w:eastAsia="仿宋" w:cs="仿宋"/>
                <w:bCs/>
                <w:color w:val="auto"/>
                <w:sz w:val="22"/>
                <w:szCs w:val="22"/>
                <w:lang w:val="en-US" w:eastAsia="zh-CN"/>
              </w:rPr>
              <w:t>仅</w:t>
            </w:r>
            <w:r>
              <w:rPr>
                <w:rFonts w:hint="eastAsia" w:ascii="仿宋" w:hAnsi="仿宋" w:eastAsia="仿宋" w:cs="仿宋"/>
                <w:bCs/>
                <w:color w:val="auto"/>
                <w:sz w:val="22"/>
                <w:szCs w:val="22"/>
              </w:rPr>
              <w:t>依靠远程支持</w:t>
            </w:r>
          </w:p>
          <w:p w14:paraId="7A090A77">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4、</w:t>
            </w:r>
            <w:r>
              <w:rPr>
                <w:rFonts w:hint="eastAsia" w:ascii="仿宋" w:hAnsi="仿宋" w:eastAsia="仿宋" w:cs="仿宋"/>
                <w:bCs/>
                <w:color w:val="auto"/>
                <w:sz w:val="22"/>
                <w:szCs w:val="22"/>
              </w:rPr>
              <w:t>质保运维（5分）</w:t>
            </w:r>
          </w:p>
          <w:p w14:paraId="12350FA8">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A（5分）：每月定期巡检，出具巡检报告，常态化售后回访</w:t>
            </w:r>
          </w:p>
          <w:p w14:paraId="00D332AD">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B（3分）：每季度巡检，故障处理后提供处置说明</w:t>
            </w:r>
          </w:p>
          <w:p w14:paraId="26ADB02B">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rPr>
              <w:t>C（1分）：无计划巡检，仅报修后处理故障</w:t>
            </w:r>
          </w:p>
        </w:tc>
      </w:tr>
      <w:tr w14:paraId="59C1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60298F35">
            <w:pPr>
              <w:spacing w:line="320" w:lineRule="exact"/>
              <w:jc w:val="center"/>
              <w:rPr>
                <w:rFonts w:hint="eastAsia" w:ascii="仿宋" w:hAnsi="仿宋" w:eastAsia="仿宋" w:cs="仿宋"/>
                <w:bCs/>
                <w:color w:val="auto"/>
                <w:sz w:val="22"/>
                <w:szCs w:val="22"/>
              </w:rPr>
            </w:pPr>
          </w:p>
        </w:tc>
        <w:tc>
          <w:tcPr>
            <w:tcW w:w="684" w:type="dxa"/>
            <w:noWrap w:val="0"/>
            <w:vAlign w:val="center"/>
          </w:tcPr>
          <w:p w14:paraId="094A2CF8">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技术参数响应</w:t>
            </w:r>
          </w:p>
        </w:tc>
        <w:tc>
          <w:tcPr>
            <w:tcW w:w="469" w:type="dxa"/>
            <w:noWrap w:val="0"/>
            <w:vAlign w:val="center"/>
          </w:tcPr>
          <w:p w14:paraId="49549483">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35分</w:t>
            </w:r>
          </w:p>
        </w:tc>
        <w:tc>
          <w:tcPr>
            <w:tcW w:w="0" w:type="auto"/>
            <w:noWrap w:val="0"/>
            <w:vAlign w:val="center"/>
          </w:tcPr>
          <w:p w14:paraId="7FBA2DFA">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对照用户需求书主要货物技术参数要求，按序号逐条审查投标文件的响应性质，作出满足或不满足招标文件要求的判断。</w:t>
            </w:r>
          </w:p>
          <w:p w14:paraId="039AB438">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设备技术参数完全满足招标要求得满分，带“▲”号为设备技术重要指标。</w:t>
            </w:r>
          </w:p>
          <w:p w14:paraId="7E0426FC">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其中标注“▲”号的</w:t>
            </w:r>
            <w:r>
              <w:rPr>
                <w:rFonts w:hint="eastAsia" w:ascii="仿宋" w:hAnsi="仿宋" w:eastAsia="仿宋" w:cs="仿宋"/>
                <w:bCs/>
                <w:color w:val="auto"/>
                <w:sz w:val="22"/>
                <w:szCs w:val="22"/>
                <w:lang w:val="en-US" w:eastAsia="zh-CN"/>
              </w:rPr>
              <w:t>25</w:t>
            </w:r>
            <w:r>
              <w:rPr>
                <w:rFonts w:hint="eastAsia" w:ascii="仿宋" w:hAnsi="仿宋" w:eastAsia="仿宋" w:cs="仿宋"/>
                <w:bCs/>
                <w:color w:val="auto"/>
                <w:sz w:val="22"/>
                <w:szCs w:val="22"/>
                <w:lang w:eastAsia="zh-Hans"/>
              </w:rPr>
              <w:t>分，未标注“▲”号的</w:t>
            </w:r>
            <w:r>
              <w:rPr>
                <w:rFonts w:hint="eastAsia" w:ascii="仿宋" w:hAnsi="仿宋" w:eastAsia="仿宋" w:cs="仿宋"/>
                <w:bCs/>
                <w:color w:val="auto"/>
                <w:sz w:val="22"/>
                <w:szCs w:val="22"/>
                <w:lang w:val="en-US" w:eastAsia="zh-CN"/>
              </w:rPr>
              <w:t>10</w:t>
            </w:r>
            <w:r>
              <w:rPr>
                <w:rFonts w:hint="eastAsia" w:ascii="仿宋" w:hAnsi="仿宋" w:eastAsia="仿宋" w:cs="仿宋"/>
                <w:bCs/>
                <w:color w:val="auto"/>
                <w:sz w:val="22"/>
                <w:szCs w:val="22"/>
                <w:lang w:eastAsia="zh-Hans"/>
              </w:rPr>
              <w:t>分。投标人提供的设备技术参数与招标文件中的参照参数进行点对点比较：（1）完全满足招标文件要求，得35分；（2)不能满足带“▲”号招标要求的每项扣1分，标注▲的技术参数总扣分超过</w:t>
            </w:r>
            <w:r>
              <w:rPr>
                <w:rFonts w:hint="eastAsia" w:ascii="仿宋" w:hAnsi="仿宋" w:eastAsia="仿宋" w:cs="仿宋"/>
                <w:bCs/>
                <w:color w:val="auto"/>
                <w:sz w:val="22"/>
                <w:szCs w:val="22"/>
                <w:lang w:val="en-US" w:eastAsia="zh-CN"/>
              </w:rPr>
              <w:t>25</w:t>
            </w:r>
            <w:r>
              <w:rPr>
                <w:rFonts w:hint="eastAsia" w:ascii="仿宋" w:hAnsi="仿宋" w:eastAsia="仿宋" w:cs="仿宋"/>
                <w:bCs/>
                <w:color w:val="auto"/>
                <w:sz w:val="22"/>
                <w:szCs w:val="22"/>
                <w:lang w:eastAsia="zh-Hans"/>
              </w:rPr>
              <w:t>分（含）的，已严重偏离采购目标，该项记为0分；（3）不能满足未带“▲”号招标要求的每项扣0.</w:t>
            </w:r>
            <w:r>
              <w:rPr>
                <w:rFonts w:hint="eastAsia" w:ascii="仿宋" w:hAnsi="仿宋" w:eastAsia="仿宋" w:cs="仿宋"/>
                <w:bCs/>
                <w:color w:val="auto"/>
                <w:sz w:val="22"/>
                <w:szCs w:val="22"/>
              </w:rPr>
              <w:t>1</w:t>
            </w:r>
            <w:r>
              <w:rPr>
                <w:rFonts w:hint="eastAsia" w:ascii="仿宋" w:hAnsi="仿宋" w:eastAsia="仿宋" w:cs="仿宋"/>
                <w:bCs/>
                <w:color w:val="auto"/>
                <w:sz w:val="22"/>
                <w:szCs w:val="22"/>
                <w:lang w:eastAsia="zh-Hans"/>
              </w:rPr>
              <w:t>分，未带▲的技术参数扣分超过</w:t>
            </w:r>
            <w:r>
              <w:rPr>
                <w:rFonts w:hint="eastAsia" w:ascii="仿宋" w:hAnsi="仿宋" w:eastAsia="仿宋" w:cs="仿宋"/>
                <w:bCs/>
                <w:color w:val="auto"/>
                <w:sz w:val="22"/>
                <w:szCs w:val="22"/>
                <w:lang w:val="en-US" w:eastAsia="zh-CN"/>
              </w:rPr>
              <w:t>10</w:t>
            </w:r>
            <w:r>
              <w:rPr>
                <w:rFonts w:hint="eastAsia" w:ascii="仿宋" w:hAnsi="仿宋" w:eastAsia="仿宋" w:cs="仿宋"/>
                <w:bCs/>
                <w:color w:val="auto"/>
                <w:sz w:val="22"/>
                <w:szCs w:val="22"/>
                <w:lang w:eastAsia="zh-Hans"/>
              </w:rPr>
              <w:t>分（含）的，已严重偏离采购目标，该项记为0分。（4）▲标条款需提供真实产品截图证明材料并加盖企业公章，不提供不得分</w:t>
            </w:r>
          </w:p>
          <w:p w14:paraId="20008914">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提供虚假参数及产品证明文件者，取消投标资格，中标后取消中标资格，并依法追究其法律责任。</w:t>
            </w:r>
          </w:p>
        </w:tc>
      </w:tr>
      <w:tr w14:paraId="6482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8" w:hRule="atLeast"/>
        </w:trPr>
        <w:tc>
          <w:tcPr>
            <w:tcW w:w="0" w:type="auto"/>
            <w:vMerge w:val="restart"/>
            <w:noWrap w:val="0"/>
            <w:vAlign w:val="center"/>
          </w:tcPr>
          <w:p w14:paraId="2F7D3FF0">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rPr>
              <w:t>商务部分（</w:t>
            </w:r>
            <w:r>
              <w:rPr>
                <w:rFonts w:hint="eastAsia" w:ascii="仿宋" w:hAnsi="仿宋" w:eastAsia="仿宋" w:cs="仿宋"/>
                <w:bCs/>
                <w:color w:val="auto"/>
                <w:sz w:val="22"/>
                <w:szCs w:val="22"/>
                <w:lang w:val="en-US" w:eastAsia="zh-CN"/>
              </w:rPr>
              <w:t>15</w:t>
            </w:r>
            <w:r>
              <w:rPr>
                <w:rFonts w:hint="eastAsia" w:ascii="仿宋" w:hAnsi="仿宋" w:eastAsia="仿宋" w:cs="仿宋"/>
                <w:bCs/>
                <w:color w:val="auto"/>
                <w:sz w:val="22"/>
                <w:szCs w:val="22"/>
              </w:rPr>
              <w:t>分）</w:t>
            </w:r>
          </w:p>
          <w:p w14:paraId="3EFF9130">
            <w:pPr>
              <w:spacing w:line="320" w:lineRule="exact"/>
              <w:jc w:val="center"/>
              <w:rPr>
                <w:rFonts w:hint="eastAsia" w:ascii="仿宋" w:hAnsi="仿宋" w:eastAsia="仿宋" w:cs="仿宋"/>
                <w:bCs/>
                <w:color w:val="auto"/>
                <w:sz w:val="22"/>
                <w:szCs w:val="22"/>
              </w:rPr>
            </w:pPr>
          </w:p>
        </w:tc>
        <w:tc>
          <w:tcPr>
            <w:tcW w:w="684" w:type="dxa"/>
            <w:noWrap w:val="0"/>
            <w:vAlign w:val="center"/>
          </w:tcPr>
          <w:p w14:paraId="65B006E4">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lang w:eastAsia="zh-Hans"/>
              </w:rPr>
              <w:t>认证证书</w:t>
            </w:r>
          </w:p>
        </w:tc>
        <w:tc>
          <w:tcPr>
            <w:tcW w:w="469" w:type="dxa"/>
            <w:noWrap w:val="0"/>
            <w:vAlign w:val="center"/>
          </w:tcPr>
          <w:p w14:paraId="015A33CD">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10</w:t>
            </w:r>
            <w:r>
              <w:rPr>
                <w:rFonts w:hint="eastAsia" w:ascii="仿宋" w:hAnsi="仿宋" w:eastAsia="仿宋" w:cs="仿宋"/>
                <w:bCs/>
                <w:color w:val="auto"/>
                <w:sz w:val="22"/>
                <w:szCs w:val="22"/>
              </w:rPr>
              <w:t>分</w:t>
            </w:r>
          </w:p>
        </w:tc>
        <w:tc>
          <w:tcPr>
            <w:tcW w:w="7307" w:type="dxa"/>
            <w:noWrap w:val="0"/>
            <w:vAlign w:val="center"/>
          </w:tcPr>
          <w:p w14:paraId="3F20D704">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请投标人提供下述文件证明材料，用以佐证企业能力：</w:t>
            </w:r>
          </w:p>
          <w:p w14:paraId="64C47125">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val="en-US" w:eastAsia="zh-CN"/>
              </w:rPr>
              <w:t>1、</w:t>
            </w:r>
            <w:r>
              <w:rPr>
                <w:rFonts w:hint="eastAsia" w:ascii="仿宋" w:hAnsi="仿宋" w:eastAsia="仿宋" w:cs="仿宋"/>
                <w:bCs/>
                <w:color w:val="auto"/>
                <w:sz w:val="22"/>
                <w:szCs w:val="22"/>
                <w:lang w:eastAsia="zh-Hans"/>
              </w:rPr>
              <w:t>具有互联网信息服务算法备案系统（网址备案截图）；</w:t>
            </w:r>
          </w:p>
          <w:p w14:paraId="3ED540F7">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val="en-US" w:eastAsia="zh-CN"/>
              </w:rPr>
              <w:t>2、</w:t>
            </w:r>
            <w:r>
              <w:rPr>
                <w:rFonts w:hint="eastAsia" w:ascii="仿宋" w:hAnsi="仿宋" w:eastAsia="仿宋" w:cs="仿宋"/>
                <w:bCs/>
                <w:color w:val="auto"/>
                <w:sz w:val="22"/>
                <w:szCs w:val="22"/>
                <w:lang w:eastAsia="zh-Hans"/>
              </w:rPr>
              <w:t>业务连续性管理体系认证证书；</w:t>
            </w:r>
          </w:p>
          <w:p w14:paraId="455854F4">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val="en-US" w:eastAsia="zh-CN"/>
              </w:rPr>
              <w:t>3、</w:t>
            </w:r>
            <w:r>
              <w:rPr>
                <w:rFonts w:hint="eastAsia" w:ascii="仿宋" w:hAnsi="仿宋" w:eastAsia="仿宋" w:cs="仿宋"/>
                <w:bCs/>
                <w:color w:val="auto"/>
                <w:sz w:val="22"/>
                <w:szCs w:val="22"/>
                <w:lang w:eastAsia="zh-Hans"/>
              </w:rPr>
              <w:t>CS2级信息系统建设和服务能力等级证书。</w:t>
            </w:r>
          </w:p>
          <w:p w14:paraId="7F4F6DF2">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4、</w:t>
            </w:r>
            <w:r>
              <w:rPr>
                <w:rFonts w:hint="eastAsia" w:ascii="仿宋" w:hAnsi="仿宋" w:eastAsia="仿宋" w:cs="仿宋"/>
                <w:bCs/>
                <w:color w:val="auto"/>
                <w:sz w:val="22"/>
                <w:szCs w:val="22"/>
              </w:rPr>
              <w:t>具有ISO20000信息技术服务管理体系认证证书</w:t>
            </w:r>
          </w:p>
          <w:p w14:paraId="59912D7B">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val="en-US" w:eastAsia="zh-CN"/>
              </w:rPr>
              <w:t>5、</w:t>
            </w:r>
            <w:r>
              <w:rPr>
                <w:rFonts w:hint="eastAsia" w:ascii="仿宋" w:hAnsi="仿宋" w:eastAsia="仿宋" w:cs="仿宋"/>
                <w:bCs/>
                <w:color w:val="auto"/>
                <w:sz w:val="22"/>
                <w:szCs w:val="22"/>
              </w:rPr>
              <w:t>CMMI5级证书：集成能力成熟度模型开发模型版本2.0-中文（低于5级证书不达标）</w:t>
            </w:r>
          </w:p>
          <w:p w14:paraId="15FBAD23">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每提供1项得</w:t>
            </w:r>
            <w:r>
              <w:rPr>
                <w:rFonts w:hint="eastAsia" w:ascii="仿宋" w:hAnsi="仿宋" w:eastAsia="仿宋" w:cs="仿宋"/>
                <w:bCs/>
                <w:color w:val="auto"/>
                <w:sz w:val="22"/>
                <w:szCs w:val="22"/>
                <w:lang w:val="en-US" w:eastAsia="zh-CN"/>
              </w:rPr>
              <w:t>2</w:t>
            </w:r>
            <w:r>
              <w:rPr>
                <w:rFonts w:hint="eastAsia" w:ascii="仿宋" w:hAnsi="仿宋" w:eastAsia="仿宋" w:cs="仿宋"/>
                <w:bCs/>
                <w:color w:val="auto"/>
                <w:sz w:val="22"/>
                <w:szCs w:val="22"/>
                <w:lang w:eastAsia="zh-Hans"/>
              </w:rPr>
              <w:t>分，最高得</w:t>
            </w:r>
            <w:r>
              <w:rPr>
                <w:rFonts w:hint="eastAsia" w:ascii="仿宋" w:hAnsi="仿宋" w:eastAsia="仿宋" w:cs="仿宋"/>
                <w:bCs/>
                <w:color w:val="auto"/>
                <w:sz w:val="22"/>
                <w:szCs w:val="22"/>
                <w:lang w:val="en-US" w:eastAsia="zh-CN"/>
              </w:rPr>
              <w:t>10</w:t>
            </w:r>
            <w:r>
              <w:rPr>
                <w:rFonts w:hint="eastAsia" w:ascii="仿宋" w:hAnsi="仿宋" w:eastAsia="仿宋" w:cs="仿宋"/>
                <w:bCs/>
                <w:color w:val="auto"/>
                <w:sz w:val="22"/>
                <w:szCs w:val="22"/>
                <w:lang w:eastAsia="zh-Hans"/>
              </w:rPr>
              <w:t>分，不提供或提供的不符合要求得0分。（评分依据：提供有效证明文件复印件加盖投标人公章</w:t>
            </w:r>
            <w:r>
              <w:rPr>
                <w:rFonts w:hint="eastAsia" w:ascii="仿宋" w:hAnsi="仿宋" w:eastAsia="仿宋" w:cs="仿宋"/>
                <w:bCs/>
                <w:color w:val="auto"/>
                <w:sz w:val="22"/>
                <w:szCs w:val="22"/>
              </w:rPr>
              <w:t>。</w:t>
            </w:r>
            <w:r>
              <w:rPr>
                <w:rFonts w:hint="eastAsia" w:ascii="仿宋" w:hAnsi="仿宋" w:eastAsia="仿宋" w:cs="仿宋"/>
                <w:bCs/>
                <w:color w:val="auto"/>
                <w:sz w:val="22"/>
                <w:szCs w:val="22"/>
                <w:lang w:eastAsia="zh-Hans"/>
              </w:rPr>
              <w:t>）</w:t>
            </w:r>
          </w:p>
        </w:tc>
      </w:tr>
      <w:tr w14:paraId="43C6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0" w:type="auto"/>
            <w:vMerge w:val="continue"/>
            <w:noWrap w:val="0"/>
            <w:vAlign w:val="center"/>
          </w:tcPr>
          <w:p w14:paraId="3BADCA70">
            <w:pPr>
              <w:spacing w:line="320" w:lineRule="exact"/>
              <w:jc w:val="center"/>
              <w:rPr>
                <w:rFonts w:hint="eastAsia" w:ascii="仿宋" w:hAnsi="仿宋" w:eastAsia="仿宋" w:cs="仿宋"/>
                <w:bCs/>
                <w:color w:val="auto"/>
                <w:sz w:val="22"/>
                <w:szCs w:val="22"/>
              </w:rPr>
            </w:pPr>
          </w:p>
        </w:tc>
        <w:tc>
          <w:tcPr>
            <w:tcW w:w="684" w:type="dxa"/>
            <w:noWrap w:val="0"/>
            <w:vAlign w:val="center"/>
          </w:tcPr>
          <w:p w14:paraId="17806AA6">
            <w:pPr>
              <w:spacing w:line="320" w:lineRule="exact"/>
              <w:jc w:val="center"/>
              <w:rPr>
                <w:rFonts w:hint="eastAsia" w:ascii="仿宋" w:hAnsi="仿宋" w:eastAsia="仿宋" w:cs="仿宋"/>
                <w:bCs/>
                <w:color w:val="auto"/>
                <w:sz w:val="22"/>
                <w:szCs w:val="22"/>
              </w:rPr>
            </w:pPr>
            <w:bookmarkStart w:id="1" w:name="_Hlk203611304"/>
            <w:r>
              <w:rPr>
                <w:rFonts w:hint="eastAsia" w:ascii="仿宋" w:hAnsi="仿宋" w:eastAsia="仿宋" w:cs="仿宋"/>
                <w:bCs/>
                <w:color w:val="auto"/>
                <w:sz w:val="22"/>
                <w:szCs w:val="22"/>
              </w:rPr>
              <w:t>技术与服务保障</w:t>
            </w:r>
            <w:bookmarkEnd w:id="1"/>
          </w:p>
        </w:tc>
        <w:tc>
          <w:tcPr>
            <w:tcW w:w="469" w:type="dxa"/>
            <w:noWrap w:val="0"/>
            <w:vAlign w:val="center"/>
          </w:tcPr>
          <w:p w14:paraId="63414468">
            <w:pPr>
              <w:spacing w:line="320" w:lineRule="exact"/>
              <w:jc w:val="center"/>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5</w:t>
            </w:r>
            <w:r>
              <w:rPr>
                <w:rFonts w:hint="eastAsia" w:ascii="仿宋" w:hAnsi="仿宋" w:eastAsia="仿宋" w:cs="仿宋"/>
                <w:bCs/>
                <w:color w:val="auto"/>
                <w:sz w:val="22"/>
                <w:szCs w:val="22"/>
              </w:rPr>
              <w:t>分</w:t>
            </w:r>
          </w:p>
        </w:tc>
        <w:tc>
          <w:tcPr>
            <w:tcW w:w="0" w:type="auto"/>
            <w:noWrap w:val="0"/>
            <w:vAlign w:val="center"/>
          </w:tcPr>
          <w:p w14:paraId="14920047">
            <w:pPr>
              <w:adjustRightInd w:val="0"/>
              <w:snapToGrid w:val="0"/>
              <w:spacing w:line="320" w:lineRule="exact"/>
              <w:rPr>
                <w:rFonts w:hint="eastAsia" w:ascii="仿宋" w:hAnsi="仿宋" w:eastAsia="仿宋" w:cs="仿宋"/>
                <w:bCs/>
                <w:color w:val="auto"/>
                <w:sz w:val="22"/>
                <w:szCs w:val="22"/>
                <w:lang w:eastAsia="zh-Hans"/>
              </w:rPr>
            </w:pPr>
            <w:bookmarkStart w:id="2" w:name="_Hlk203611355"/>
            <w:r>
              <w:rPr>
                <w:rFonts w:hint="eastAsia" w:ascii="仿宋" w:hAnsi="仿宋" w:eastAsia="仿宋" w:cs="仿宋"/>
                <w:bCs/>
                <w:color w:val="auto"/>
                <w:sz w:val="22"/>
                <w:szCs w:val="22"/>
                <w:lang w:eastAsia="zh-Hans"/>
              </w:rPr>
              <w:t>请投标人提供下述文件证明材料，用以佐证平台技术与服务保障力：</w:t>
            </w:r>
          </w:p>
          <w:p w14:paraId="7C7F1077">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eastAsia="zh-Hans"/>
              </w:rPr>
              <w:t>1、投标人具有三级网络安全等级保护测评报告得</w:t>
            </w:r>
            <w:r>
              <w:rPr>
                <w:rFonts w:hint="eastAsia" w:ascii="仿宋" w:hAnsi="仿宋" w:eastAsia="仿宋" w:cs="仿宋"/>
                <w:bCs/>
                <w:color w:val="auto"/>
                <w:sz w:val="22"/>
                <w:szCs w:val="22"/>
                <w:lang w:val="en-US" w:eastAsia="zh-CN"/>
              </w:rPr>
              <w:t>2.5</w:t>
            </w:r>
            <w:r>
              <w:rPr>
                <w:rFonts w:hint="eastAsia" w:ascii="仿宋" w:hAnsi="仿宋" w:eastAsia="仿宋" w:cs="仿宋"/>
                <w:bCs/>
                <w:color w:val="auto"/>
                <w:sz w:val="22"/>
                <w:szCs w:val="22"/>
                <w:lang w:eastAsia="zh-Hans"/>
              </w:rPr>
              <w:t>分</w:t>
            </w:r>
          </w:p>
          <w:p w14:paraId="7F31D42E">
            <w:pPr>
              <w:adjustRightInd w:val="0"/>
              <w:snapToGrid w:val="0"/>
              <w:spacing w:line="320" w:lineRule="exact"/>
              <w:rPr>
                <w:rFonts w:hint="eastAsia" w:ascii="仿宋" w:hAnsi="仿宋" w:eastAsia="仿宋" w:cs="仿宋"/>
                <w:bCs/>
                <w:color w:val="auto"/>
                <w:sz w:val="22"/>
                <w:szCs w:val="22"/>
              </w:rPr>
            </w:pPr>
            <w:r>
              <w:rPr>
                <w:rFonts w:hint="eastAsia" w:ascii="仿宋" w:hAnsi="仿宋" w:eastAsia="仿宋" w:cs="仿宋"/>
                <w:bCs/>
                <w:color w:val="auto"/>
                <w:sz w:val="22"/>
                <w:szCs w:val="22"/>
                <w:lang w:val="en-US" w:eastAsia="zh-CN"/>
              </w:rPr>
              <w:t>2</w:t>
            </w:r>
            <w:r>
              <w:rPr>
                <w:rFonts w:hint="eastAsia" w:ascii="仿宋" w:hAnsi="仿宋" w:eastAsia="仿宋" w:cs="仿宋"/>
                <w:bCs/>
                <w:color w:val="auto"/>
                <w:sz w:val="22"/>
                <w:szCs w:val="22"/>
              </w:rPr>
              <w:t>、提供与本项目需求相关的计算机软件</w:t>
            </w:r>
            <w:r>
              <w:rPr>
                <w:rFonts w:hint="eastAsia" w:ascii="仿宋" w:hAnsi="仿宋" w:eastAsia="仿宋" w:cs="仿宋"/>
                <w:bCs/>
                <w:color w:val="auto"/>
                <w:sz w:val="22"/>
                <w:szCs w:val="22"/>
                <w:lang w:val="en-US" w:eastAsia="zh-CN"/>
              </w:rPr>
              <w:t>或平台</w:t>
            </w:r>
            <w:r>
              <w:rPr>
                <w:rFonts w:hint="eastAsia" w:ascii="仿宋" w:hAnsi="仿宋" w:eastAsia="仿宋" w:cs="仿宋"/>
                <w:bCs/>
                <w:color w:val="auto"/>
                <w:sz w:val="22"/>
                <w:szCs w:val="22"/>
              </w:rPr>
              <w:t>著作权登记证书得</w:t>
            </w:r>
            <w:r>
              <w:rPr>
                <w:rFonts w:hint="eastAsia" w:ascii="仿宋" w:hAnsi="仿宋" w:eastAsia="仿宋" w:cs="仿宋"/>
                <w:bCs/>
                <w:color w:val="auto"/>
                <w:sz w:val="22"/>
                <w:szCs w:val="22"/>
                <w:lang w:val="en-US" w:eastAsia="zh-CN"/>
              </w:rPr>
              <w:t>2.5</w:t>
            </w:r>
            <w:r>
              <w:rPr>
                <w:rFonts w:hint="eastAsia" w:ascii="仿宋" w:hAnsi="仿宋" w:eastAsia="仿宋" w:cs="仿宋"/>
                <w:bCs/>
                <w:color w:val="auto"/>
                <w:sz w:val="22"/>
                <w:szCs w:val="22"/>
              </w:rPr>
              <w:t>分</w:t>
            </w:r>
          </w:p>
          <w:p w14:paraId="03D28A73">
            <w:pPr>
              <w:adjustRightInd w:val="0"/>
              <w:snapToGrid w:val="0"/>
              <w:spacing w:line="320" w:lineRule="exact"/>
              <w:rPr>
                <w:rFonts w:hint="eastAsia" w:ascii="仿宋" w:hAnsi="仿宋" w:eastAsia="仿宋" w:cs="仿宋"/>
                <w:bCs/>
                <w:color w:val="auto"/>
                <w:sz w:val="22"/>
                <w:szCs w:val="22"/>
                <w:lang w:eastAsia="zh-Hans"/>
              </w:rPr>
            </w:pPr>
            <w:r>
              <w:rPr>
                <w:rFonts w:hint="eastAsia" w:ascii="仿宋" w:hAnsi="仿宋" w:eastAsia="仿宋" w:cs="仿宋"/>
                <w:bCs/>
                <w:color w:val="auto"/>
                <w:sz w:val="22"/>
                <w:szCs w:val="22"/>
                <w:lang w:eastAsia="zh-Hans"/>
              </w:rPr>
              <w:t xml:space="preserve"> 注：投标文件中须提供以上证书（有效期内）的扫描件并加盖投标人公章，证书不符合要求或者未提供者均不得分。</w:t>
            </w:r>
            <w:bookmarkEnd w:id="2"/>
          </w:p>
        </w:tc>
      </w:tr>
      <w:tr w14:paraId="203A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40" w:type="dxa"/>
            <w:gridSpan w:val="2"/>
            <w:noWrap w:val="0"/>
            <w:vAlign w:val="center"/>
          </w:tcPr>
          <w:p w14:paraId="1DBF2EAE">
            <w:pPr>
              <w:spacing w:line="320" w:lineRule="exact"/>
              <w:jc w:val="center"/>
              <w:rPr>
                <w:rFonts w:hint="eastAsia" w:ascii="仿宋" w:hAnsi="仿宋" w:eastAsia="仿宋" w:cs="仿宋"/>
                <w:bCs/>
                <w:color w:val="auto"/>
                <w:sz w:val="22"/>
                <w:szCs w:val="22"/>
                <w:lang w:val="en-US" w:eastAsia="zh-CN"/>
              </w:rPr>
            </w:pPr>
            <w:r>
              <w:rPr>
                <w:rFonts w:hint="eastAsia" w:ascii="仿宋" w:hAnsi="仿宋" w:eastAsia="仿宋" w:cs="仿宋"/>
                <w:bCs/>
                <w:color w:val="auto"/>
                <w:sz w:val="22"/>
                <w:szCs w:val="22"/>
                <w:lang w:val="en-US" w:eastAsia="zh-CN"/>
              </w:rPr>
              <w:t>合计</w:t>
            </w:r>
          </w:p>
        </w:tc>
        <w:tc>
          <w:tcPr>
            <w:tcW w:w="7776" w:type="dxa"/>
            <w:gridSpan w:val="2"/>
            <w:noWrap w:val="0"/>
            <w:vAlign w:val="center"/>
          </w:tcPr>
          <w:p w14:paraId="2FEB9025">
            <w:pPr>
              <w:adjustRightInd w:val="0"/>
              <w:snapToGrid w:val="0"/>
              <w:spacing w:line="320" w:lineRule="exact"/>
              <w:jc w:val="center"/>
              <w:rPr>
                <w:rFonts w:hint="default" w:ascii="仿宋" w:hAnsi="仿宋" w:eastAsia="仿宋" w:cs="仿宋"/>
                <w:bCs/>
                <w:color w:val="auto"/>
                <w:sz w:val="22"/>
                <w:szCs w:val="22"/>
                <w:lang w:val="en-US" w:eastAsia="zh-CN"/>
              </w:rPr>
            </w:pPr>
            <w:r>
              <w:rPr>
                <w:rFonts w:hint="eastAsia" w:ascii="仿宋" w:hAnsi="仿宋" w:eastAsia="仿宋" w:cs="仿宋"/>
                <w:bCs/>
                <w:color w:val="auto"/>
                <w:sz w:val="22"/>
                <w:szCs w:val="22"/>
                <w:lang w:val="en-US" w:eastAsia="zh-CN"/>
              </w:rPr>
              <w:t>100分</w:t>
            </w:r>
          </w:p>
        </w:tc>
      </w:tr>
    </w:tbl>
    <w:p w14:paraId="57FAFCD8">
      <w:pPr>
        <w:rPr>
          <w:rFonts w:hint="eastAsia" w:ascii="仿宋" w:hAnsi="仿宋" w:eastAsia="仿宋" w:cs="仿宋"/>
          <w:b/>
          <w:sz w:val="32"/>
          <w:szCs w:val="32"/>
        </w:rPr>
      </w:pPr>
    </w:p>
    <w:p w14:paraId="1AD54E24">
      <w:pPr>
        <w:tabs>
          <w:tab w:val="left" w:pos="426"/>
        </w:tabs>
        <w:spacing w:line="400" w:lineRule="exact"/>
        <w:ind w:firstLine="480"/>
        <w:jc w:val="center"/>
        <w:rPr>
          <w:rFonts w:hint="eastAsia" w:ascii="宋体" w:hAnsi="宋体"/>
          <w:b/>
          <w:sz w:val="32"/>
          <w:szCs w:val="32"/>
        </w:rPr>
      </w:pPr>
    </w:p>
    <w:p w14:paraId="0A2CFA18">
      <w:pPr>
        <w:jc w:val="center"/>
        <w:rPr>
          <w:rFonts w:hint="default" w:ascii="宋体" w:hAnsi="宋体"/>
          <w:b/>
          <w:sz w:val="36"/>
          <w:szCs w:val="36"/>
          <w:lang w:val="en-US"/>
        </w:rPr>
      </w:pPr>
      <w:r>
        <w:rPr>
          <w:b/>
          <w:sz w:val="32"/>
          <w:szCs w:val="32"/>
        </w:rPr>
        <w:br w:type="page"/>
      </w:r>
      <w:r>
        <w:rPr>
          <w:rFonts w:hint="eastAsia"/>
          <w:b/>
          <w:sz w:val="32"/>
          <w:szCs w:val="32"/>
        </w:rPr>
        <w:t>第</w:t>
      </w:r>
      <w:r>
        <w:rPr>
          <w:rFonts w:hint="eastAsia"/>
          <w:b/>
          <w:sz w:val="32"/>
          <w:szCs w:val="32"/>
          <w:lang w:val="en-US" w:eastAsia="zh-CN"/>
        </w:rPr>
        <w:t>四</w:t>
      </w:r>
      <w:r>
        <w:rPr>
          <w:rFonts w:hint="eastAsia"/>
          <w:b/>
          <w:sz w:val="32"/>
          <w:szCs w:val="32"/>
        </w:rPr>
        <w:t>部分</w:t>
      </w:r>
      <w:r>
        <w:rPr>
          <w:rFonts w:hint="eastAsia" w:ascii="黑体" w:hAnsi="黑体" w:eastAsia="黑体" w:cs="仿宋"/>
          <w:b/>
          <w:sz w:val="36"/>
          <w:szCs w:val="32"/>
        </w:rPr>
        <w:t xml:space="preserve"> </w:t>
      </w:r>
      <w:r>
        <w:rPr>
          <w:rFonts w:hint="eastAsia"/>
          <w:b/>
          <w:sz w:val="32"/>
          <w:szCs w:val="32"/>
          <w:lang w:val="en-US" w:eastAsia="zh-CN"/>
        </w:rPr>
        <w:t>响应文件格式</w:t>
      </w:r>
    </w:p>
    <w:p w14:paraId="677E34D4">
      <w:pPr>
        <w:spacing w:line="360" w:lineRule="exact"/>
        <w:jc w:val="center"/>
        <w:outlineLvl w:val="0"/>
        <w:rPr>
          <w:rFonts w:hint="eastAsia" w:ascii="宋体" w:hAnsi="宋体"/>
          <w:b/>
          <w:sz w:val="28"/>
          <w:szCs w:val="28"/>
        </w:rPr>
      </w:pPr>
    </w:p>
    <w:p w14:paraId="1A5EDA7C">
      <w:pPr>
        <w:rPr>
          <w:color w:val="000000"/>
          <w:shd w:val="clear" w:color="auto" w:fill="auto"/>
        </w:rPr>
      </w:pPr>
    </w:p>
    <w:p w14:paraId="6E33B11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480" w:firstLine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r>
        <w:rPr>
          <w:rFonts w:hint="eastAsia" w:ascii="宋体" w:hAnsi="宋体" w:eastAsia="宋体" w:cs="宋体"/>
          <w:b/>
          <w:bCs/>
          <w:i w:val="0"/>
          <w:iCs w:val="0"/>
          <w:color w:val="000000"/>
          <w:spacing w:val="0"/>
          <w:kern w:val="0"/>
          <w:sz w:val="24"/>
          <w:szCs w:val="24"/>
          <w:shd w:val="clear" w:color="auto" w:fill="FFFFFF"/>
          <w:lang w:val="en-US" w:eastAsia="zh-CN" w:bidi="ar"/>
        </w:rPr>
        <w:t>具有良好的商业信誉和健全的财务会计制度(提供承诺函）</w:t>
      </w:r>
    </w:p>
    <w:p w14:paraId="5E55B49C">
      <w:pPr>
        <w:rPr>
          <w:rFonts w:hint="eastAsia"/>
        </w:rPr>
      </w:pPr>
    </w:p>
    <w:p w14:paraId="608EA3E9">
      <w:pPr>
        <w:pStyle w:val="4"/>
        <w:rPr>
          <w:rFonts w:hint="eastAsia"/>
        </w:rPr>
      </w:pPr>
    </w:p>
    <w:p w14:paraId="16898863">
      <w:pPr>
        <w:rPr>
          <w:rFonts w:hint="eastAsia"/>
        </w:rPr>
      </w:pPr>
    </w:p>
    <w:p w14:paraId="25CA868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480" w:firstLine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r>
        <w:rPr>
          <w:rFonts w:hint="eastAsia" w:ascii="宋体" w:hAnsi="宋体" w:eastAsia="宋体" w:cs="宋体"/>
          <w:b/>
          <w:bCs/>
          <w:i w:val="0"/>
          <w:iCs w:val="0"/>
          <w:color w:val="000000"/>
          <w:spacing w:val="0"/>
          <w:kern w:val="0"/>
          <w:sz w:val="24"/>
          <w:szCs w:val="24"/>
          <w:shd w:val="clear" w:color="auto" w:fill="FFFFFF"/>
          <w:lang w:val="en-US" w:eastAsia="zh-CN" w:bidi="ar"/>
        </w:rPr>
        <w:t>具有依法缴纳税收和社会保障资金的良好记录（提供承诺函）。</w:t>
      </w:r>
    </w:p>
    <w:p w14:paraId="4BB052D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tabs>
          <w:tab w:val="left" w:pos="312"/>
        </w:tabs>
        <w:spacing w:before="0" w:beforeAutospacing="0" w:after="0" w:afterAutospacing="0"/>
        <w:ind w:right="0" w:right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p>
    <w:p w14:paraId="1B13451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tabs>
          <w:tab w:val="left" w:pos="312"/>
        </w:tabs>
        <w:spacing w:before="0" w:beforeAutospacing="0" w:after="0" w:afterAutospacing="0"/>
        <w:ind w:right="0" w:right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p>
    <w:p w14:paraId="113C93A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tabs>
          <w:tab w:val="left" w:pos="312"/>
        </w:tabs>
        <w:spacing w:before="0" w:beforeAutospacing="0" w:after="0" w:afterAutospacing="0"/>
        <w:ind w:right="0" w:right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p>
    <w:p w14:paraId="4DE6491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tabs>
          <w:tab w:val="left" w:pos="312"/>
        </w:tabs>
        <w:spacing w:before="0" w:beforeAutospacing="0" w:after="0" w:afterAutospacing="0"/>
        <w:ind w:right="0" w:right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p>
    <w:p w14:paraId="58383DB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tabs>
          <w:tab w:val="left" w:pos="312"/>
        </w:tabs>
        <w:spacing w:before="0" w:beforeAutospacing="0" w:after="0" w:afterAutospacing="0"/>
        <w:ind w:right="0" w:right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p>
    <w:p w14:paraId="0C10EB6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480" w:firstLine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r>
        <w:rPr>
          <w:rFonts w:hint="eastAsia" w:ascii="宋体" w:hAnsi="宋体" w:eastAsia="宋体" w:cs="宋体"/>
          <w:b/>
          <w:bCs/>
          <w:i w:val="0"/>
          <w:iCs w:val="0"/>
          <w:color w:val="000000"/>
          <w:spacing w:val="0"/>
          <w:kern w:val="0"/>
          <w:sz w:val="24"/>
          <w:szCs w:val="24"/>
          <w:shd w:val="clear" w:color="auto" w:fill="FFFFFF"/>
          <w:lang w:val="en-US" w:eastAsia="zh-CN" w:bidi="ar"/>
        </w:rPr>
        <w:t>具有履行合同所必需的设备和专业技术能力（提供承诺书）。</w:t>
      </w:r>
    </w:p>
    <w:p w14:paraId="2240545E">
      <w:pPr>
        <w:rPr>
          <w:rFonts w:hint="eastAsia"/>
        </w:rPr>
      </w:pPr>
    </w:p>
    <w:p w14:paraId="0D955313">
      <w:pPr>
        <w:pStyle w:val="4"/>
        <w:rPr>
          <w:rFonts w:hint="eastAsia"/>
        </w:rPr>
      </w:pPr>
    </w:p>
    <w:p w14:paraId="42801329">
      <w:pPr>
        <w:rPr>
          <w:rFonts w:hint="eastAsia"/>
        </w:rPr>
      </w:pPr>
    </w:p>
    <w:p w14:paraId="0D831F0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b/>
          <w:bCs/>
          <w:i w:val="0"/>
          <w:iCs w:val="0"/>
          <w:color w:val="000000"/>
          <w:spacing w:val="0"/>
          <w:sz w:val="24"/>
          <w:szCs w:val="24"/>
        </w:rPr>
      </w:pPr>
      <w:r>
        <w:rPr>
          <w:rFonts w:hint="eastAsia" w:ascii="宋体" w:hAnsi="宋体" w:cs="宋体"/>
          <w:b/>
          <w:bCs/>
          <w:i w:val="0"/>
          <w:iCs w:val="0"/>
          <w:color w:val="000000"/>
          <w:spacing w:val="0"/>
          <w:kern w:val="0"/>
          <w:sz w:val="24"/>
          <w:szCs w:val="24"/>
          <w:shd w:val="clear" w:color="auto" w:fill="FFFFFF"/>
          <w:lang w:val="en-US" w:eastAsia="zh-CN" w:bidi="ar"/>
        </w:rPr>
        <w:t>4</w:t>
      </w:r>
      <w:r>
        <w:rPr>
          <w:rFonts w:hint="eastAsia" w:ascii="宋体" w:hAnsi="宋体" w:eastAsia="宋体" w:cs="宋体"/>
          <w:b/>
          <w:bCs/>
          <w:i w:val="0"/>
          <w:iCs w:val="0"/>
          <w:color w:val="000000"/>
          <w:spacing w:val="0"/>
          <w:kern w:val="0"/>
          <w:sz w:val="24"/>
          <w:szCs w:val="24"/>
          <w:shd w:val="clear" w:color="auto" w:fill="FFFFFF"/>
          <w:lang w:val="en-US" w:eastAsia="zh-CN" w:bidi="ar"/>
        </w:rPr>
        <w:t>.“信用中国” 网站（www.creditchina.gov.cn）未列入失信被执行人、税收违法黑名单、政府采购严重违法失信行为记录名单；中国政府采购网（www.ccgp.gov.cn）未列入政府采购严重违法失信行为记录名单（需提供上述网站查询截图，未提供截图的以比选现场查询结果为准）。</w:t>
      </w:r>
    </w:p>
    <w:p w14:paraId="2977E977">
      <w:pPr>
        <w:pStyle w:val="61"/>
        <w:spacing w:before="240" w:line="480" w:lineRule="auto"/>
        <w:ind w:firstLine="4410" w:firstLineChars="2100"/>
        <w:rPr>
          <w:rFonts w:ascii="Times New Roman" w:hAnsi="Times New Roman" w:eastAsia="宋体"/>
          <w:color w:val="000000"/>
          <w:sz w:val="21"/>
          <w:szCs w:val="21"/>
          <w:shd w:val="clear" w:color="auto" w:fill="auto"/>
        </w:rPr>
        <w:sectPr>
          <w:footerReference r:id="rId5" w:type="first"/>
          <w:headerReference r:id="rId3" w:type="default"/>
          <w:footerReference r:id="rId4" w:type="default"/>
          <w:pgSz w:w="11906" w:h="16838"/>
          <w:pgMar w:top="1418" w:right="1418" w:bottom="1418" w:left="1588" w:header="851" w:footer="851" w:gutter="0"/>
          <w:pgNumType w:fmt="decimal"/>
          <w:cols w:space="720" w:num="1"/>
          <w:titlePg/>
          <w:docGrid w:type="lines" w:linePitch="312" w:charSpace="0"/>
        </w:sectPr>
      </w:pPr>
      <w:r>
        <w:rPr>
          <w:rFonts w:ascii="Times New Roman" w:hAnsi="Times New Roman" w:eastAsia="宋体"/>
          <w:color w:val="000000"/>
          <w:sz w:val="21"/>
          <w:szCs w:val="21"/>
          <w:shd w:val="clear" w:color="auto" w:fill="auto"/>
        </w:rPr>
        <w:t xml:space="preserve">   </w:t>
      </w:r>
    </w:p>
    <w:p w14:paraId="125C7369">
      <w:pPr>
        <w:pStyle w:val="3"/>
        <w:jc w:val="center"/>
        <w:rPr>
          <w:rStyle w:val="25"/>
          <w:rFonts w:ascii="Times New Roman" w:hAnsi="Times New Roman" w:eastAsia="宋体"/>
          <w:b/>
          <w:bCs/>
          <w:color w:val="000000"/>
          <w:shd w:val="clear" w:color="auto" w:fill="auto"/>
        </w:rPr>
      </w:pPr>
      <w:bookmarkStart w:id="3" w:name="_Toc28519"/>
      <w:bookmarkStart w:id="4" w:name="_Toc85"/>
      <w:bookmarkStart w:id="5" w:name="_Toc31884"/>
      <w:bookmarkStart w:id="6" w:name="_Toc3106"/>
      <w:bookmarkStart w:id="7" w:name="_Toc11978"/>
      <w:r>
        <w:rPr>
          <w:rStyle w:val="25"/>
          <w:rFonts w:hint="eastAsia" w:ascii="Times New Roman" w:hAnsi="Times New Roman" w:eastAsia="宋体"/>
          <w:b/>
          <w:bCs/>
          <w:color w:val="000000"/>
          <w:shd w:val="clear" w:color="auto" w:fill="auto"/>
          <w:lang w:val="en-US" w:eastAsia="zh-CN"/>
        </w:rPr>
        <w:t>5.</w:t>
      </w:r>
      <w:r>
        <w:rPr>
          <w:rStyle w:val="25"/>
          <w:rFonts w:ascii="Times New Roman" w:hAnsi="Times New Roman" w:eastAsia="宋体"/>
          <w:b/>
          <w:bCs/>
          <w:color w:val="000000"/>
          <w:shd w:val="clear" w:color="auto" w:fill="auto"/>
        </w:rPr>
        <w:t>开标一览表</w:t>
      </w:r>
      <w:bookmarkEnd w:id="3"/>
      <w:bookmarkEnd w:id="4"/>
      <w:bookmarkEnd w:id="5"/>
      <w:bookmarkEnd w:id="6"/>
      <w:bookmarkEnd w:id="7"/>
    </w:p>
    <w:p w14:paraId="5EA338EA">
      <w:pPr>
        <w:spacing w:before="240" w:line="480" w:lineRule="auto"/>
        <w:rPr>
          <w:color w:val="000000"/>
          <w:szCs w:val="21"/>
          <w:shd w:val="clear" w:color="auto" w:fill="auto"/>
        </w:rPr>
      </w:pPr>
      <w:r>
        <w:rPr>
          <w:color w:val="000000"/>
          <w:szCs w:val="21"/>
          <w:shd w:val="clear" w:color="auto" w:fill="auto"/>
        </w:rPr>
        <w:t>项目名称：</w:t>
      </w:r>
    </w:p>
    <w:p w14:paraId="550981D1">
      <w:pPr>
        <w:spacing w:before="240" w:line="480" w:lineRule="auto"/>
        <w:rPr>
          <w:color w:val="000000"/>
          <w:szCs w:val="21"/>
          <w:shd w:val="clear" w:color="auto" w:fill="auto"/>
        </w:rPr>
      </w:pPr>
      <w:r>
        <w:rPr>
          <w:color w:val="000000"/>
          <w:szCs w:val="21"/>
          <w:shd w:val="clear" w:color="auto" w:fill="auto"/>
        </w:rPr>
        <w:t>项目编号：                                               金额单位：      元</w:t>
      </w:r>
    </w:p>
    <w:tbl>
      <w:tblPr>
        <w:tblStyle w:val="17"/>
        <w:tblW w:w="9379" w:type="dxa"/>
        <w:tblInd w:w="-515" w:type="dxa"/>
        <w:tblLayout w:type="fixed"/>
        <w:tblCellMar>
          <w:top w:w="0" w:type="dxa"/>
          <w:left w:w="0" w:type="dxa"/>
          <w:bottom w:w="0" w:type="dxa"/>
          <w:right w:w="0" w:type="dxa"/>
        </w:tblCellMar>
      </w:tblPr>
      <w:tblGrid>
        <w:gridCol w:w="2363"/>
        <w:gridCol w:w="1316"/>
        <w:gridCol w:w="5700"/>
      </w:tblGrid>
      <w:tr w14:paraId="6B3CD5D5">
        <w:tblPrEx>
          <w:tblCellMar>
            <w:top w:w="0" w:type="dxa"/>
            <w:left w:w="0" w:type="dxa"/>
            <w:bottom w:w="0" w:type="dxa"/>
            <w:right w:w="0" w:type="dxa"/>
          </w:tblCellMar>
        </w:tblPrEx>
        <w:trPr>
          <w:trHeight w:val="1673" w:hRule="exact"/>
        </w:trPr>
        <w:tc>
          <w:tcPr>
            <w:tcW w:w="2363" w:type="dxa"/>
            <w:vMerge w:val="restart"/>
            <w:tcBorders>
              <w:top w:val="single" w:color="000000" w:sz="4" w:space="0"/>
              <w:left w:val="single" w:color="000000" w:sz="4" w:space="0"/>
              <w:right w:val="single" w:color="000000" w:sz="4" w:space="0"/>
            </w:tcBorders>
            <w:noWrap w:val="0"/>
            <w:vAlign w:val="top"/>
          </w:tcPr>
          <w:p w14:paraId="63079C6D">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77E7D0C1">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4B54C965">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473C4557">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19CBF30D">
            <w:pPr>
              <w:keepNext w:val="0"/>
              <w:keepLines w:val="0"/>
              <w:suppressLineNumbers w:val="0"/>
              <w:spacing w:before="12" w:beforeAutospacing="0" w:after="0" w:afterAutospacing="0" w:line="280" w:lineRule="exact"/>
              <w:ind w:left="0" w:right="0"/>
              <w:rPr>
                <w:rFonts w:hint="default"/>
                <w:b/>
                <w:bCs/>
                <w:color w:val="000000"/>
                <w:sz w:val="24"/>
                <w:shd w:val="clear" w:color="auto" w:fill="auto"/>
              </w:rPr>
            </w:pPr>
          </w:p>
          <w:p w14:paraId="5A5F7E9D">
            <w:pPr>
              <w:keepNext w:val="0"/>
              <w:keepLines w:val="0"/>
              <w:suppressLineNumbers w:val="0"/>
              <w:spacing w:before="0" w:beforeAutospacing="0" w:after="0" w:afterAutospacing="0"/>
              <w:ind w:left="565" w:right="545"/>
              <w:jc w:val="center"/>
              <w:rPr>
                <w:rFonts w:hint="default"/>
                <w:b/>
                <w:bCs/>
                <w:color w:val="000000"/>
                <w:sz w:val="24"/>
                <w:shd w:val="clear" w:color="auto" w:fill="auto"/>
              </w:rPr>
            </w:pPr>
            <w:r>
              <w:rPr>
                <w:rFonts w:hint="default"/>
                <w:b/>
                <w:bCs/>
                <w:color w:val="000000"/>
                <w:sz w:val="24"/>
                <w:shd w:val="clear" w:color="auto" w:fill="auto"/>
              </w:rPr>
              <w:t>投标总价</w:t>
            </w:r>
          </w:p>
          <w:p w14:paraId="18325B5D">
            <w:pPr>
              <w:keepNext w:val="0"/>
              <w:keepLines w:val="0"/>
              <w:suppressLineNumbers w:val="0"/>
              <w:spacing w:before="6" w:beforeAutospacing="0" w:after="0" w:afterAutospacing="0" w:line="140" w:lineRule="exact"/>
              <w:ind w:left="0" w:right="0"/>
              <w:rPr>
                <w:rFonts w:hint="default"/>
                <w:b/>
                <w:bCs/>
                <w:color w:val="000000"/>
                <w:sz w:val="24"/>
                <w:shd w:val="clear" w:color="auto" w:fill="auto"/>
              </w:rPr>
            </w:pPr>
          </w:p>
          <w:p w14:paraId="28DDB1C8">
            <w:pPr>
              <w:keepNext w:val="0"/>
              <w:keepLines w:val="0"/>
              <w:suppressLineNumbers w:val="0"/>
              <w:spacing w:before="0" w:beforeAutospacing="0" w:after="0" w:afterAutospacing="0"/>
              <w:ind w:left="217" w:right="61"/>
              <w:jc w:val="center"/>
              <w:rPr>
                <w:rFonts w:hint="default"/>
                <w:b/>
                <w:bCs/>
                <w:color w:val="000000"/>
                <w:sz w:val="24"/>
                <w:shd w:val="clear" w:color="auto" w:fill="auto"/>
              </w:rPr>
            </w:pPr>
            <w:r>
              <w:rPr>
                <w:rFonts w:hint="default"/>
                <w:b/>
                <w:bCs/>
                <w:color w:val="000000"/>
                <w:sz w:val="24"/>
                <w:shd w:val="clear" w:color="auto" w:fill="auto"/>
              </w:rPr>
              <w:t>（人民币/元）</w:t>
            </w: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0464923A">
            <w:pPr>
              <w:keepNext w:val="0"/>
              <w:keepLines w:val="0"/>
              <w:suppressLineNumbers w:val="0"/>
              <w:spacing w:before="8" w:beforeAutospacing="0" w:after="0" w:afterAutospacing="0" w:line="120" w:lineRule="exact"/>
              <w:ind w:left="0" w:right="0"/>
              <w:rPr>
                <w:rFonts w:hint="default"/>
                <w:b/>
                <w:bCs/>
                <w:color w:val="000000"/>
                <w:sz w:val="24"/>
                <w:shd w:val="clear" w:color="auto" w:fill="auto"/>
              </w:rPr>
            </w:pPr>
          </w:p>
          <w:p w14:paraId="5B74DC8A">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7EAEEE50">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4DEBF477">
            <w:pPr>
              <w:keepNext w:val="0"/>
              <w:keepLines w:val="0"/>
              <w:suppressLineNumbers w:val="0"/>
              <w:spacing w:before="0" w:beforeAutospacing="0" w:after="0" w:afterAutospacing="0"/>
              <w:ind w:left="383" w:right="-20"/>
              <w:rPr>
                <w:rFonts w:hint="default"/>
                <w:b/>
                <w:bCs/>
                <w:color w:val="000000"/>
                <w:sz w:val="24"/>
                <w:shd w:val="clear" w:color="auto" w:fill="auto"/>
              </w:rPr>
            </w:pPr>
            <w:r>
              <w:rPr>
                <w:rFonts w:hint="default"/>
                <w:b/>
                <w:bCs/>
                <w:color w:val="000000"/>
                <w:sz w:val="24"/>
                <w:shd w:val="clear" w:color="auto" w:fill="auto"/>
              </w:rPr>
              <w:t>大写</w:t>
            </w:r>
          </w:p>
        </w:tc>
        <w:tc>
          <w:tcPr>
            <w:tcW w:w="5700" w:type="dxa"/>
            <w:tcBorders>
              <w:top w:val="single" w:color="000000" w:sz="4" w:space="0"/>
              <w:left w:val="single" w:color="000000" w:sz="4" w:space="0"/>
              <w:bottom w:val="single" w:color="000000" w:sz="4" w:space="0"/>
              <w:right w:val="single" w:color="000000" w:sz="4" w:space="0"/>
            </w:tcBorders>
            <w:noWrap w:val="0"/>
            <w:vAlign w:val="top"/>
          </w:tcPr>
          <w:p w14:paraId="18E12C29">
            <w:pPr>
              <w:keepNext w:val="0"/>
              <w:keepLines w:val="0"/>
              <w:suppressLineNumbers w:val="0"/>
              <w:spacing w:before="0" w:beforeAutospacing="0" w:after="0" w:afterAutospacing="0"/>
              <w:ind w:left="0" w:right="0"/>
              <w:rPr>
                <w:rFonts w:hint="default"/>
                <w:b/>
                <w:bCs/>
                <w:color w:val="000000"/>
                <w:sz w:val="24"/>
                <w:shd w:val="clear" w:color="auto" w:fill="auto"/>
              </w:rPr>
            </w:pPr>
          </w:p>
        </w:tc>
      </w:tr>
      <w:tr w14:paraId="6D7D7430">
        <w:tblPrEx>
          <w:tblCellMar>
            <w:top w:w="0" w:type="dxa"/>
            <w:left w:w="0" w:type="dxa"/>
            <w:bottom w:w="0" w:type="dxa"/>
            <w:right w:w="0" w:type="dxa"/>
          </w:tblCellMar>
        </w:tblPrEx>
        <w:trPr>
          <w:trHeight w:val="1754" w:hRule="exact"/>
        </w:trPr>
        <w:tc>
          <w:tcPr>
            <w:tcW w:w="2363" w:type="dxa"/>
            <w:vMerge w:val="continue"/>
            <w:tcBorders>
              <w:left w:val="single" w:color="000000" w:sz="4" w:space="0"/>
              <w:bottom w:val="single" w:color="000000" w:sz="4" w:space="0"/>
              <w:right w:val="single" w:color="000000" w:sz="4" w:space="0"/>
            </w:tcBorders>
            <w:noWrap w:val="0"/>
            <w:vAlign w:val="top"/>
          </w:tcPr>
          <w:p w14:paraId="57F51123">
            <w:pPr>
              <w:keepNext w:val="0"/>
              <w:keepLines w:val="0"/>
              <w:suppressLineNumbers w:val="0"/>
              <w:spacing w:before="0" w:beforeAutospacing="0" w:after="0" w:afterAutospacing="0"/>
              <w:ind w:left="0" w:right="0"/>
              <w:rPr>
                <w:rFonts w:hint="default"/>
                <w:b/>
                <w:bCs/>
                <w:color w:val="000000"/>
                <w:sz w:val="24"/>
                <w:shd w:val="clear" w:color="auto" w:fill="auto"/>
              </w:rPr>
            </w:pP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08DC527E">
            <w:pPr>
              <w:keepNext w:val="0"/>
              <w:keepLines w:val="0"/>
              <w:suppressLineNumbers w:val="0"/>
              <w:spacing w:before="9" w:beforeAutospacing="0" w:after="0" w:afterAutospacing="0" w:line="160" w:lineRule="exact"/>
              <w:ind w:left="0" w:right="0"/>
              <w:rPr>
                <w:rFonts w:hint="default"/>
                <w:b/>
                <w:bCs/>
                <w:color w:val="000000"/>
                <w:sz w:val="24"/>
                <w:shd w:val="clear" w:color="auto" w:fill="auto"/>
              </w:rPr>
            </w:pPr>
          </w:p>
          <w:p w14:paraId="689D6116">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5B5C1A17">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34B31A7A">
            <w:pPr>
              <w:keepNext w:val="0"/>
              <w:keepLines w:val="0"/>
              <w:suppressLineNumbers w:val="0"/>
              <w:spacing w:before="0" w:beforeAutospacing="0" w:after="0" w:afterAutospacing="0"/>
              <w:ind w:left="383" w:right="-20"/>
              <w:rPr>
                <w:rFonts w:hint="default"/>
                <w:b/>
                <w:bCs/>
                <w:color w:val="000000"/>
                <w:sz w:val="24"/>
                <w:shd w:val="clear" w:color="auto" w:fill="auto"/>
              </w:rPr>
            </w:pPr>
            <w:r>
              <w:rPr>
                <w:rFonts w:hint="default"/>
                <w:b/>
                <w:bCs/>
                <w:color w:val="000000"/>
                <w:sz w:val="24"/>
                <w:shd w:val="clear" w:color="auto" w:fill="auto"/>
              </w:rPr>
              <w:t>小写</w:t>
            </w:r>
          </w:p>
        </w:tc>
        <w:tc>
          <w:tcPr>
            <w:tcW w:w="5700" w:type="dxa"/>
            <w:tcBorders>
              <w:top w:val="single" w:color="000000" w:sz="4" w:space="0"/>
              <w:left w:val="single" w:color="000000" w:sz="4" w:space="0"/>
              <w:bottom w:val="single" w:color="000000" w:sz="4" w:space="0"/>
              <w:right w:val="single" w:color="000000" w:sz="4" w:space="0"/>
            </w:tcBorders>
            <w:noWrap w:val="0"/>
            <w:vAlign w:val="top"/>
          </w:tcPr>
          <w:p w14:paraId="5E66E737">
            <w:pPr>
              <w:keepNext w:val="0"/>
              <w:keepLines w:val="0"/>
              <w:suppressLineNumbers w:val="0"/>
              <w:spacing w:before="0" w:beforeAutospacing="0" w:after="0" w:afterAutospacing="0"/>
              <w:ind w:left="0" w:right="0"/>
              <w:rPr>
                <w:rFonts w:hint="default"/>
                <w:b/>
                <w:bCs/>
                <w:color w:val="000000"/>
                <w:sz w:val="24"/>
                <w:shd w:val="clear" w:color="auto" w:fill="auto"/>
              </w:rPr>
            </w:pPr>
          </w:p>
        </w:tc>
      </w:tr>
      <w:tr w14:paraId="211C183A">
        <w:tblPrEx>
          <w:tblCellMar>
            <w:top w:w="0" w:type="dxa"/>
            <w:left w:w="0" w:type="dxa"/>
            <w:bottom w:w="0" w:type="dxa"/>
            <w:right w:w="0" w:type="dxa"/>
          </w:tblCellMar>
        </w:tblPrEx>
        <w:trPr>
          <w:trHeight w:val="1747" w:hRule="exact"/>
        </w:trPr>
        <w:tc>
          <w:tcPr>
            <w:tcW w:w="2363" w:type="dxa"/>
            <w:tcBorders>
              <w:top w:val="single" w:color="000000" w:sz="4" w:space="0"/>
              <w:left w:val="single" w:color="000000" w:sz="4" w:space="0"/>
              <w:bottom w:val="single" w:color="000000" w:sz="4" w:space="0"/>
              <w:right w:val="single" w:color="000000" w:sz="4" w:space="0"/>
            </w:tcBorders>
            <w:noWrap w:val="0"/>
            <w:vAlign w:val="center"/>
          </w:tcPr>
          <w:p w14:paraId="0669C3C1">
            <w:pPr>
              <w:keepNext w:val="0"/>
              <w:keepLines w:val="0"/>
              <w:suppressLineNumbers w:val="0"/>
              <w:spacing w:before="0" w:beforeAutospacing="0" w:after="0" w:afterAutospacing="0"/>
              <w:ind w:left="426" w:right="406"/>
              <w:jc w:val="center"/>
              <w:rPr>
                <w:rFonts w:hint="default"/>
                <w:b/>
                <w:bCs/>
                <w:color w:val="000000"/>
                <w:sz w:val="24"/>
                <w:shd w:val="clear" w:color="auto" w:fill="auto"/>
              </w:rPr>
            </w:pPr>
            <w:r>
              <w:rPr>
                <w:rFonts w:hint="eastAsia"/>
                <w:b/>
                <w:bCs/>
                <w:color w:val="000000"/>
                <w:sz w:val="24"/>
                <w:shd w:val="clear" w:color="auto" w:fill="auto"/>
              </w:rPr>
              <w:t>服务期</w:t>
            </w:r>
            <w:r>
              <w:rPr>
                <w:rFonts w:hint="default"/>
                <w:b/>
                <w:bCs/>
                <w:color w:val="000000"/>
                <w:sz w:val="24"/>
                <w:shd w:val="clear" w:color="auto" w:fill="auto"/>
              </w:rPr>
              <w:t>及</w:t>
            </w:r>
          </w:p>
          <w:p w14:paraId="5F8A4867">
            <w:pPr>
              <w:keepNext w:val="0"/>
              <w:keepLines w:val="0"/>
              <w:suppressLineNumbers w:val="0"/>
              <w:spacing w:before="0" w:beforeAutospacing="0" w:after="0" w:afterAutospacing="0"/>
              <w:ind w:left="426" w:right="406"/>
              <w:jc w:val="center"/>
              <w:rPr>
                <w:rFonts w:hint="default"/>
                <w:b/>
                <w:bCs/>
                <w:color w:val="000000"/>
                <w:sz w:val="24"/>
                <w:shd w:val="clear" w:color="auto" w:fill="auto"/>
              </w:rPr>
            </w:pPr>
            <w:r>
              <w:rPr>
                <w:rFonts w:hint="eastAsia"/>
                <w:b/>
                <w:bCs/>
                <w:color w:val="000000"/>
                <w:sz w:val="24"/>
                <w:shd w:val="clear" w:color="auto" w:fill="auto"/>
              </w:rPr>
              <w:t>服务地点</w:t>
            </w:r>
          </w:p>
        </w:tc>
        <w:tc>
          <w:tcPr>
            <w:tcW w:w="7016" w:type="dxa"/>
            <w:gridSpan w:val="2"/>
            <w:tcBorders>
              <w:top w:val="single" w:color="000000" w:sz="4" w:space="0"/>
              <w:left w:val="single" w:color="000000" w:sz="4" w:space="0"/>
              <w:bottom w:val="single" w:color="000000" w:sz="4" w:space="0"/>
              <w:right w:val="single" w:color="000000" w:sz="4" w:space="0"/>
            </w:tcBorders>
            <w:noWrap w:val="0"/>
            <w:vAlign w:val="center"/>
          </w:tcPr>
          <w:p w14:paraId="7C4CBEEF">
            <w:pPr>
              <w:keepNext w:val="0"/>
              <w:keepLines w:val="0"/>
              <w:suppressLineNumbers w:val="0"/>
              <w:spacing w:before="0" w:beforeAutospacing="0" w:after="0" w:afterAutospacing="0"/>
              <w:ind w:left="426" w:right="406"/>
              <w:rPr>
                <w:rFonts w:hint="default"/>
                <w:b/>
                <w:bCs/>
                <w:color w:val="000000"/>
                <w:sz w:val="24"/>
                <w:shd w:val="clear" w:color="auto" w:fill="auto"/>
              </w:rPr>
            </w:pPr>
            <w:r>
              <w:rPr>
                <w:rFonts w:hint="eastAsia"/>
                <w:b/>
                <w:bCs/>
                <w:color w:val="000000"/>
                <w:sz w:val="24"/>
                <w:shd w:val="clear" w:color="auto" w:fill="auto"/>
              </w:rPr>
              <w:t>服务期</w:t>
            </w:r>
            <w:r>
              <w:rPr>
                <w:rFonts w:hint="default"/>
                <w:b/>
                <w:bCs/>
                <w:color w:val="000000"/>
                <w:sz w:val="24"/>
                <w:shd w:val="clear" w:color="auto" w:fill="auto"/>
              </w:rPr>
              <w:t>：</w:t>
            </w:r>
          </w:p>
          <w:p w14:paraId="3B866D54">
            <w:pPr>
              <w:keepNext w:val="0"/>
              <w:keepLines w:val="0"/>
              <w:suppressLineNumbers w:val="0"/>
              <w:spacing w:before="0" w:beforeAutospacing="0" w:after="0" w:afterAutospacing="0"/>
              <w:ind w:left="426" w:right="406"/>
              <w:rPr>
                <w:rFonts w:hint="default"/>
                <w:b/>
                <w:bCs/>
                <w:color w:val="000000"/>
                <w:sz w:val="24"/>
                <w:shd w:val="clear" w:color="auto" w:fill="auto"/>
              </w:rPr>
            </w:pPr>
            <w:r>
              <w:rPr>
                <w:rFonts w:hint="eastAsia"/>
                <w:b/>
                <w:bCs/>
                <w:color w:val="000000"/>
                <w:sz w:val="24"/>
                <w:shd w:val="clear" w:color="auto" w:fill="auto"/>
              </w:rPr>
              <w:t>服务地点</w:t>
            </w:r>
            <w:r>
              <w:rPr>
                <w:rFonts w:hint="default"/>
                <w:b/>
                <w:bCs/>
                <w:color w:val="000000"/>
                <w:sz w:val="24"/>
                <w:shd w:val="clear" w:color="auto" w:fill="auto"/>
              </w:rPr>
              <w:t>：</w:t>
            </w:r>
          </w:p>
        </w:tc>
      </w:tr>
    </w:tbl>
    <w:p w14:paraId="49425AB2">
      <w:pPr>
        <w:spacing w:before="240" w:line="480" w:lineRule="auto"/>
        <w:rPr>
          <w:color w:val="000000"/>
          <w:szCs w:val="21"/>
          <w:shd w:val="clear" w:color="auto" w:fill="auto"/>
        </w:rPr>
      </w:pPr>
    </w:p>
    <w:p w14:paraId="6F843772">
      <w:pPr>
        <w:spacing w:before="240" w:line="480" w:lineRule="auto"/>
        <w:rPr>
          <w:color w:val="000000"/>
          <w:szCs w:val="21"/>
          <w:shd w:val="clear" w:color="auto" w:fill="auto"/>
        </w:rPr>
      </w:pPr>
      <w:r>
        <w:rPr>
          <w:color w:val="000000"/>
          <w:szCs w:val="21"/>
          <w:shd w:val="clear" w:color="auto" w:fill="auto"/>
        </w:rPr>
        <w:t>供应商：</w:t>
      </w:r>
    </w:p>
    <w:p w14:paraId="0FDFEBC8">
      <w:pPr>
        <w:spacing w:before="240" w:line="480" w:lineRule="auto"/>
        <w:rPr>
          <w:color w:val="000000"/>
          <w:szCs w:val="21"/>
          <w:shd w:val="clear" w:color="auto" w:fill="auto"/>
        </w:rPr>
      </w:pPr>
    </w:p>
    <w:p w14:paraId="63D9E6B7">
      <w:pPr>
        <w:spacing w:before="240" w:line="480" w:lineRule="auto"/>
        <w:rPr>
          <w:iCs/>
          <w:color w:val="000000"/>
          <w:szCs w:val="21"/>
          <w:shd w:val="clear" w:color="auto" w:fill="auto"/>
        </w:rPr>
      </w:pPr>
      <w:r>
        <w:rPr>
          <w:color w:val="000000"/>
          <w:szCs w:val="21"/>
          <w:shd w:val="clear" w:color="auto" w:fill="auto"/>
        </w:rPr>
        <w:t>法定代表人或其委托代理人：</w:t>
      </w:r>
      <w:r>
        <w:rPr>
          <w:iCs/>
          <w:color w:val="000000"/>
          <w:szCs w:val="21"/>
          <w:shd w:val="clear" w:color="auto" w:fill="auto"/>
        </w:rPr>
        <w:t>（签字或盖章）</w:t>
      </w:r>
    </w:p>
    <w:p w14:paraId="1E492532">
      <w:pPr>
        <w:spacing w:before="240" w:line="480" w:lineRule="auto"/>
        <w:ind w:firstLine="1575" w:firstLineChars="750"/>
        <w:rPr>
          <w:iCs/>
          <w:color w:val="000000"/>
          <w:szCs w:val="21"/>
          <w:shd w:val="clear" w:color="auto" w:fill="auto"/>
        </w:rPr>
      </w:pPr>
    </w:p>
    <w:p w14:paraId="398D0D31">
      <w:pPr>
        <w:spacing w:before="240" w:line="480" w:lineRule="auto"/>
        <w:ind w:firstLine="4515" w:firstLineChars="2150"/>
        <w:rPr>
          <w:color w:val="000000"/>
          <w:sz w:val="28"/>
          <w:szCs w:val="28"/>
          <w:shd w:val="clear" w:color="auto" w:fill="auto"/>
        </w:rPr>
      </w:pPr>
      <w:r>
        <w:rPr>
          <w:iCs/>
          <w:color w:val="000000"/>
          <w:szCs w:val="21"/>
          <w:shd w:val="clear" w:color="auto" w:fill="auto"/>
        </w:rPr>
        <w:t>日期：         年   月    日</w:t>
      </w:r>
    </w:p>
    <w:p w14:paraId="45750A5E">
      <w:pPr>
        <w:spacing w:line="360" w:lineRule="exact"/>
        <w:jc w:val="left"/>
        <w:rPr>
          <w:rFonts w:hint="eastAsia" w:ascii="宋体" w:hAnsi="宋体"/>
          <w:bCs/>
          <w:sz w:val="24"/>
        </w:rPr>
      </w:pPr>
    </w:p>
    <w:p w14:paraId="51EF5FFC">
      <w:pPr>
        <w:spacing w:line="360" w:lineRule="exact"/>
        <w:jc w:val="left"/>
        <w:rPr>
          <w:rFonts w:hint="eastAsia" w:ascii="宋体" w:hAnsi="宋体"/>
          <w:bCs/>
          <w:sz w:val="24"/>
        </w:rPr>
      </w:pPr>
    </w:p>
    <w:p w14:paraId="075C1130">
      <w:pPr>
        <w:spacing w:line="360" w:lineRule="exact"/>
        <w:jc w:val="left"/>
        <w:rPr>
          <w:rFonts w:hint="eastAsia" w:ascii="宋体" w:hAnsi="宋体"/>
          <w:sz w:val="28"/>
          <w:szCs w:val="28"/>
        </w:rPr>
      </w:pPr>
      <w:r>
        <w:rPr>
          <w:rFonts w:hint="eastAsia" w:ascii="宋体" w:hAnsi="宋体"/>
          <w:sz w:val="24"/>
        </w:rPr>
        <w:t xml:space="preserve">                                                     </w:t>
      </w:r>
      <w:r>
        <w:rPr>
          <w:rFonts w:hint="eastAsia" w:ascii="宋体" w:hAnsi="宋体"/>
          <w:sz w:val="28"/>
          <w:szCs w:val="28"/>
        </w:rPr>
        <w:t xml:space="preserve">                       </w:t>
      </w:r>
    </w:p>
    <w:p w14:paraId="7D4AE937">
      <w:pPr>
        <w:spacing w:line="320" w:lineRule="exact"/>
        <w:jc w:val="center"/>
        <w:rPr>
          <w:rFonts w:hint="eastAsia" w:ascii="宋体" w:hAnsi="宋体"/>
          <w:b/>
          <w:sz w:val="28"/>
          <w:szCs w:val="28"/>
        </w:rPr>
      </w:pPr>
    </w:p>
    <w:p w14:paraId="7CF1C149">
      <w:pPr>
        <w:spacing w:line="320" w:lineRule="exact"/>
        <w:jc w:val="center"/>
        <w:rPr>
          <w:rFonts w:hint="eastAsia" w:ascii="宋体" w:hAnsi="宋体"/>
          <w:b/>
          <w:sz w:val="28"/>
          <w:szCs w:val="28"/>
        </w:rPr>
      </w:pPr>
      <w:r>
        <w:rPr>
          <w:rFonts w:hint="eastAsia" w:ascii="宋体" w:hAnsi="宋体"/>
          <w:b/>
          <w:sz w:val="28"/>
          <w:szCs w:val="28"/>
          <w:lang w:val="en-US" w:eastAsia="zh-CN"/>
        </w:rPr>
        <w:t>6.</w:t>
      </w:r>
      <w:r>
        <w:rPr>
          <w:rFonts w:hint="eastAsia" w:ascii="宋体" w:hAnsi="宋体"/>
          <w:b/>
          <w:sz w:val="28"/>
          <w:szCs w:val="28"/>
        </w:rPr>
        <w:t>规格响应表</w:t>
      </w:r>
    </w:p>
    <w:p w14:paraId="70054606">
      <w:pPr>
        <w:spacing w:line="320" w:lineRule="exact"/>
        <w:jc w:val="center"/>
        <w:rPr>
          <w:rFonts w:hint="eastAsia" w:ascii="宋体" w:hAnsi="宋体"/>
          <w:b/>
          <w:sz w:val="28"/>
          <w:szCs w:val="28"/>
        </w:rPr>
      </w:pPr>
    </w:p>
    <w:p w14:paraId="4F490156">
      <w:pPr>
        <w:spacing w:line="320" w:lineRule="exact"/>
        <w:jc w:val="left"/>
        <w:rPr>
          <w:rFonts w:hint="eastAsia" w:ascii="宋体" w:hAnsi="宋体"/>
          <w:sz w:val="24"/>
        </w:rPr>
      </w:pPr>
      <w:r>
        <w:rPr>
          <w:rFonts w:hint="eastAsia" w:ascii="宋体" w:hAnsi="宋体"/>
          <w:sz w:val="24"/>
        </w:rPr>
        <w:t>说明：投标人必须仔细阅读采购文件中所有技术规范条款和相关功能要求，并对所有技术规范和功能偏离的条目列入下表，未列入下表的视作投标人不响应。</w:t>
      </w:r>
      <w:r>
        <w:rPr>
          <w:rFonts w:hint="eastAsia" w:ascii="宋体" w:hAnsi="宋体"/>
          <w:sz w:val="24"/>
          <w:u w:val="single"/>
        </w:rPr>
        <w:t>投标人必须根据所投产品的实际情况如实填写，评委会如发现有虚假描述，</w:t>
      </w:r>
      <w:r>
        <w:rPr>
          <w:rFonts w:ascii="宋体" w:hAnsi="宋体"/>
          <w:sz w:val="24"/>
          <w:u w:val="single"/>
        </w:rPr>
        <w:t>提供虚假材料谋取中标、成交的</w:t>
      </w:r>
      <w:r>
        <w:rPr>
          <w:rFonts w:hint="eastAsia" w:ascii="宋体" w:hAnsi="宋体"/>
          <w:sz w:val="24"/>
          <w:u w:val="single"/>
        </w:rPr>
        <w:t>，属违反政府采购法相关规定，该响应文件作废标处理。</w:t>
      </w:r>
      <w:r>
        <w:rPr>
          <w:rFonts w:ascii="宋体" w:hAnsi="宋体"/>
          <w:sz w:val="24"/>
        </w:rPr>
        <w:tab/>
      </w:r>
    </w:p>
    <w:p w14:paraId="73D936A4">
      <w:pPr>
        <w:spacing w:line="320" w:lineRule="exact"/>
        <w:jc w:val="center"/>
        <w:rPr>
          <w:rFonts w:hint="eastAsia" w:ascii="宋体" w:hAnsi="宋体"/>
          <w:b/>
          <w:sz w:val="28"/>
          <w:szCs w:val="28"/>
        </w:rPr>
      </w:pPr>
    </w:p>
    <w:p w14:paraId="5F693967">
      <w:pPr>
        <w:tabs>
          <w:tab w:val="left" w:pos="9654"/>
        </w:tabs>
        <w:spacing w:line="320" w:lineRule="exact"/>
        <w:rPr>
          <w:rFonts w:hint="eastAsia" w:ascii="宋体" w:hAnsi="宋体"/>
          <w:sz w:val="24"/>
        </w:rPr>
      </w:pPr>
      <w:r>
        <w:rPr>
          <w:rFonts w:hint="eastAsia" w:ascii="宋体" w:hAnsi="宋体"/>
          <w:sz w:val="24"/>
        </w:rPr>
        <w:t>投标人名称: （盖章）</w:t>
      </w:r>
    </w:p>
    <w:tbl>
      <w:tblPr>
        <w:tblStyle w:val="17"/>
        <w:tblW w:w="0" w:type="auto"/>
        <w:tblInd w:w="-66" w:type="dxa"/>
        <w:tblLayout w:type="fixed"/>
        <w:tblCellMar>
          <w:top w:w="0" w:type="dxa"/>
          <w:left w:w="54" w:type="dxa"/>
          <w:bottom w:w="0" w:type="dxa"/>
          <w:right w:w="54" w:type="dxa"/>
        </w:tblCellMar>
      </w:tblPr>
      <w:tblGrid>
        <w:gridCol w:w="660"/>
        <w:gridCol w:w="3300"/>
        <w:gridCol w:w="3300"/>
        <w:gridCol w:w="2552"/>
      </w:tblGrid>
      <w:tr w14:paraId="111CB5CE">
        <w:tblPrEx>
          <w:tblCellMar>
            <w:top w:w="0" w:type="dxa"/>
            <w:left w:w="54" w:type="dxa"/>
            <w:bottom w:w="0" w:type="dxa"/>
            <w:right w:w="54" w:type="dxa"/>
          </w:tblCellMar>
        </w:tblPrEx>
        <w:trPr>
          <w:trHeight w:val="160" w:hRule="atLeast"/>
        </w:trPr>
        <w:tc>
          <w:tcPr>
            <w:tcW w:w="660" w:type="dxa"/>
            <w:tcBorders>
              <w:top w:val="single" w:color="auto" w:sz="6" w:space="0"/>
              <w:left w:val="single" w:color="auto" w:sz="6" w:space="0"/>
              <w:bottom w:val="single" w:color="auto" w:sz="6" w:space="0"/>
              <w:right w:val="single" w:color="auto" w:sz="4" w:space="0"/>
            </w:tcBorders>
            <w:noWrap w:val="0"/>
            <w:vAlign w:val="center"/>
          </w:tcPr>
          <w:p w14:paraId="52EB0DFC">
            <w:pPr>
              <w:spacing w:line="320" w:lineRule="exact"/>
              <w:jc w:val="center"/>
              <w:rPr>
                <w:rFonts w:ascii="宋体" w:hAnsi="宋体"/>
                <w:sz w:val="24"/>
              </w:rPr>
            </w:pPr>
            <w:r>
              <w:rPr>
                <w:rFonts w:hint="eastAsia" w:ascii="宋体" w:hAnsi="宋体"/>
                <w:sz w:val="24"/>
              </w:rPr>
              <w:t>序号</w:t>
            </w:r>
          </w:p>
        </w:tc>
        <w:tc>
          <w:tcPr>
            <w:tcW w:w="3300" w:type="dxa"/>
            <w:tcBorders>
              <w:top w:val="single" w:color="auto" w:sz="6" w:space="0"/>
              <w:left w:val="single" w:color="auto" w:sz="4" w:space="0"/>
              <w:bottom w:val="single" w:color="auto" w:sz="6" w:space="0"/>
              <w:right w:val="single" w:color="auto" w:sz="6" w:space="0"/>
            </w:tcBorders>
            <w:noWrap w:val="0"/>
            <w:vAlign w:val="center"/>
          </w:tcPr>
          <w:p w14:paraId="31AA2E0C">
            <w:pPr>
              <w:spacing w:line="320" w:lineRule="exact"/>
              <w:jc w:val="center"/>
              <w:rPr>
                <w:rFonts w:ascii="宋体" w:hAnsi="宋体"/>
                <w:sz w:val="24"/>
              </w:rPr>
            </w:pPr>
            <w:r>
              <w:rPr>
                <w:rFonts w:hint="eastAsia" w:ascii="宋体" w:hAnsi="宋体"/>
                <w:sz w:val="24"/>
              </w:rPr>
              <w:t>招标规格</w:t>
            </w:r>
          </w:p>
        </w:tc>
        <w:tc>
          <w:tcPr>
            <w:tcW w:w="3300" w:type="dxa"/>
            <w:tcBorders>
              <w:top w:val="single" w:color="auto" w:sz="6" w:space="0"/>
              <w:left w:val="single" w:color="auto" w:sz="6" w:space="0"/>
              <w:bottom w:val="single" w:color="auto" w:sz="6" w:space="0"/>
              <w:right w:val="single" w:color="auto" w:sz="6" w:space="0"/>
            </w:tcBorders>
            <w:noWrap w:val="0"/>
            <w:vAlign w:val="center"/>
          </w:tcPr>
          <w:p w14:paraId="58D8C896">
            <w:pPr>
              <w:spacing w:line="320" w:lineRule="exact"/>
              <w:jc w:val="center"/>
              <w:rPr>
                <w:rFonts w:ascii="宋体" w:hAnsi="宋体"/>
                <w:sz w:val="24"/>
              </w:rPr>
            </w:pPr>
            <w:r>
              <w:rPr>
                <w:rFonts w:hint="eastAsia" w:ascii="宋体" w:hAnsi="宋体"/>
                <w:sz w:val="24"/>
              </w:rPr>
              <w:t>投标规格</w:t>
            </w:r>
          </w:p>
        </w:tc>
        <w:tc>
          <w:tcPr>
            <w:tcW w:w="2552" w:type="dxa"/>
            <w:tcBorders>
              <w:top w:val="single" w:color="auto" w:sz="6" w:space="0"/>
              <w:left w:val="single" w:color="auto" w:sz="4" w:space="0"/>
              <w:bottom w:val="single" w:color="auto" w:sz="6" w:space="0"/>
              <w:right w:val="single" w:color="auto" w:sz="6" w:space="0"/>
            </w:tcBorders>
            <w:noWrap w:val="0"/>
            <w:vAlign w:val="center"/>
          </w:tcPr>
          <w:p w14:paraId="02BB212E">
            <w:pPr>
              <w:spacing w:line="320" w:lineRule="exact"/>
              <w:jc w:val="center"/>
              <w:rPr>
                <w:rFonts w:hint="eastAsia" w:ascii="宋体" w:hAnsi="宋体"/>
                <w:sz w:val="24"/>
              </w:rPr>
            </w:pPr>
            <w:r>
              <w:rPr>
                <w:rFonts w:ascii="宋体" w:hAnsi="宋体"/>
                <w:sz w:val="24"/>
              </w:rPr>
              <w:t>偏离情况</w:t>
            </w:r>
          </w:p>
          <w:p w14:paraId="1B8DEB69">
            <w:pPr>
              <w:spacing w:line="320" w:lineRule="exact"/>
              <w:jc w:val="center"/>
              <w:rPr>
                <w:rFonts w:hint="eastAsia" w:ascii="宋体" w:hAnsi="宋体"/>
                <w:sz w:val="24"/>
              </w:rPr>
            </w:pPr>
            <w:r>
              <w:rPr>
                <w:rFonts w:ascii="宋体" w:hAnsi="宋体"/>
                <w:sz w:val="24"/>
              </w:rPr>
              <w:t>（无偏离，正/负偏离）</w:t>
            </w:r>
          </w:p>
          <w:p w14:paraId="7A1C5F52">
            <w:pPr>
              <w:spacing w:line="320" w:lineRule="exact"/>
              <w:jc w:val="center"/>
              <w:rPr>
                <w:rFonts w:hint="eastAsia" w:ascii="宋体" w:hAnsi="宋体"/>
                <w:sz w:val="24"/>
              </w:rPr>
            </w:pPr>
            <w:r>
              <w:rPr>
                <w:rFonts w:hint="eastAsia" w:ascii="宋体" w:hAnsi="宋体"/>
                <w:sz w:val="24"/>
              </w:rPr>
              <w:t>证明材料页码</w:t>
            </w:r>
          </w:p>
        </w:tc>
      </w:tr>
      <w:tr w14:paraId="063A239F">
        <w:tblPrEx>
          <w:tblCellMar>
            <w:top w:w="0" w:type="dxa"/>
            <w:left w:w="54" w:type="dxa"/>
            <w:bottom w:w="0" w:type="dxa"/>
            <w:right w:w="54" w:type="dxa"/>
          </w:tblCellMar>
        </w:tblPrEx>
        <w:trPr>
          <w:cantSplit/>
          <w:trHeight w:val="160" w:hRule="atLeast"/>
        </w:trPr>
        <w:tc>
          <w:tcPr>
            <w:tcW w:w="660" w:type="dxa"/>
            <w:tcBorders>
              <w:top w:val="single" w:color="auto" w:sz="6" w:space="0"/>
              <w:left w:val="single" w:color="auto" w:sz="6" w:space="0"/>
              <w:bottom w:val="single" w:color="auto" w:sz="4" w:space="0"/>
              <w:right w:val="single" w:color="auto" w:sz="4" w:space="0"/>
            </w:tcBorders>
            <w:noWrap w:val="0"/>
            <w:vAlign w:val="top"/>
          </w:tcPr>
          <w:p w14:paraId="3B5E2300">
            <w:pPr>
              <w:spacing w:line="320" w:lineRule="exact"/>
              <w:rPr>
                <w:rFonts w:ascii="宋体" w:hAnsi="宋体"/>
                <w:sz w:val="24"/>
              </w:rPr>
            </w:pPr>
          </w:p>
        </w:tc>
        <w:tc>
          <w:tcPr>
            <w:tcW w:w="3300" w:type="dxa"/>
            <w:tcBorders>
              <w:top w:val="single" w:color="auto" w:sz="6" w:space="0"/>
              <w:left w:val="single" w:color="auto" w:sz="4" w:space="0"/>
              <w:bottom w:val="single" w:color="auto" w:sz="4" w:space="0"/>
              <w:right w:val="single" w:color="auto" w:sz="6" w:space="0"/>
            </w:tcBorders>
            <w:noWrap w:val="0"/>
            <w:vAlign w:val="top"/>
          </w:tcPr>
          <w:p w14:paraId="48DF04F8">
            <w:pPr>
              <w:spacing w:line="320" w:lineRule="exact"/>
              <w:rPr>
                <w:rFonts w:ascii="宋体" w:hAnsi="宋体"/>
                <w:sz w:val="24"/>
              </w:rPr>
            </w:pPr>
          </w:p>
        </w:tc>
        <w:tc>
          <w:tcPr>
            <w:tcW w:w="3300" w:type="dxa"/>
            <w:tcBorders>
              <w:top w:val="single" w:color="auto" w:sz="6" w:space="0"/>
              <w:left w:val="single" w:color="auto" w:sz="6" w:space="0"/>
              <w:bottom w:val="single" w:color="auto" w:sz="4" w:space="0"/>
              <w:right w:val="single" w:color="auto" w:sz="6" w:space="0"/>
            </w:tcBorders>
            <w:noWrap w:val="0"/>
            <w:vAlign w:val="top"/>
          </w:tcPr>
          <w:p w14:paraId="0A40716F">
            <w:pPr>
              <w:spacing w:line="320" w:lineRule="exact"/>
              <w:rPr>
                <w:rFonts w:ascii="宋体" w:hAnsi="宋体"/>
                <w:sz w:val="24"/>
              </w:rPr>
            </w:pPr>
          </w:p>
        </w:tc>
        <w:tc>
          <w:tcPr>
            <w:tcW w:w="2552" w:type="dxa"/>
            <w:tcBorders>
              <w:top w:val="single" w:color="auto" w:sz="6" w:space="0"/>
              <w:left w:val="single" w:color="auto" w:sz="4" w:space="0"/>
              <w:bottom w:val="single" w:color="auto" w:sz="4" w:space="0"/>
              <w:right w:val="single" w:color="auto" w:sz="6" w:space="0"/>
            </w:tcBorders>
            <w:noWrap w:val="0"/>
            <w:vAlign w:val="top"/>
          </w:tcPr>
          <w:p w14:paraId="32A15624">
            <w:pPr>
              <w:spacing w:line="320" w:lineRule="exact"/>
              <w:rPr>
                <w:rFonts w:ascii="宋体" w:hAnsi="宋体"/>
                <w:sz w:val="24"/>
              </w:rPr>
            </w:pPr>
          </w:p>
        </w:tc>
      </w:tr>
      <w:tr w14:paraId="77E0AF62">
        <w:tblPrEx>
          <w:tblCellMar>
            <w:top w:w="0" w:type="dxa"/>
            <w:left w:w="54" w:type="dxa"/>
            <w:bottom w:w="0" w:type="dxa"/>
            <w:right w:w="54" w:type="dxa"/>
          </w:tblCellMar>
        </w:tblPrEx>
        <w:trPr>
          <w:cantSplit/>
          <w:trHeight w:val="160" w:hRule="atLeast"/>
        </w:trPr>
        <w:tc>
          <w:tcPr>
            <w:tcW w:w="660" w:type="dxa"/>
            <w:tcBorders>
              <w:top w:val="single" w:color="auto" w:sz="4" w:space="0"/>
              <w:left w:val="single" w:color="auto" w:sz="6" w:space="0"/>
              <w:bottom w:val="single" w:color="auto" w:sz="4" w:space="0"/>
              <w:right w:val="single" w:color="auto" w:sz="4" w:space="0"/>
            </w:tcBorders>
            <w:noWrap w:val="0"/>
            <w:vAlign w:val="top"/>
          </w:tcPr>
          <w:p w14:paraId="25F6F26D">
            <w:pPr>
              <w:spacing w:line="320" w:lineRule="exact"/>
              <w:rPr>
                <w:rFonts w:ascii="宋体" w:hAnsi="宋体"/>
                <w:sz w:val="24"/>
              </w:rPr>
            </w:pPr>
          </w:p>
        </w:tc>
        <w:tc>
          <w:tcPr>
            <w:tcW w:w="3300" w:type="dxa"/>
            <w:tcBorders>
              <w:top w:val="single" w:color="auto" w:sz="4" w:space="0"/>
              <w:left w:val="single" w:color="auto" w:sz="4" w:space="0"/>
              <w:bottom w:val="single" w:color="auto" w:sz="4" w:space="0"/>
              <w:right w:val="single" w:color="auto" w:sz="6" w:space="0"/>
            </w:tcBorders>
            <w:noWrap w:val="0"/>
            <w:vAlign w:val="top"/>
          </w:tcPr>
          <w:p w14:paraId="73A2108C">
            <w:pPr>
              <w:spacing w:line="320" w:lineRule="exact"/>
              <w:rPr>
                <w:rFonts w:ascii="宋体" w:hAnsi="宋体"/>
                <w:sz w:val="24"/>
              </w:rPr>
            </w:pPr>
          </w:p>
        </w:tc>
        <w:tc>
          <w:tcPr>
            <w:tcW w:w="3300" w:type="dxa"/>
            <w:tcBorders>
              <w:top w:val="single" w:color="auto" w:sz="4" w:space="0"/>
              <w:left w:val="single" w:color="auto" w:sz="6" w:space="0"/>
              <w:bottom w:val="single" w:color="auto" w:sz="4" w:space="0"/>
              <w:right w:val="single" w:color="auto" w:sz="6" w:space="0"/>
            </w:tcBorders>
            <w:noWrap w:val="0"/>
            <w:vAlign w:val="top"/>
          </w:tcPr>
          <w:p w14:paraId="5A27F923">
            <w:pPr>
              <w:spacing w:line="320" w:lineRule="exact"/>
              <w:rPr>
                <w:rFonts w:ascii="宋体" w:hAnsi="宋体"/>
                <w:sz w:val="24"/>
              </w:rPr>
            </w:pPr>
          </w:p>
        </w:tc>
        <w:tc>
          <w:tcPr>
            <w:tcW w:w="2552" w:type="dxa"/>
            <w:tcBorders>
              <w:top w:val="single" w:color="auto" w:sz="4" w:space="0"/>
              <w:left w:val="single" w:color="auto" w:sz="4" w:space="0"/>
              <w:bottom w:val="single" w:color="auto" w:sz="4" w:space="0"/>
              <w:right w:val="single" w:color="auto" w:sz="6" w:space="0"/>
            </w:tcBorders>
            <w:noWrap w:val="0"/>
            <w:vAlign w:val="top"/>
          </w:tcPr>
          <w:p w14:paraId="3CCCE74C">
            <w:pPr>
              <w:spacing w:line="320" w:lineRule="exact"/>
              <w:rPr>
                <w:rFonts w:ascii="宋体" w:hAnsi="宋体"/>
                <w:sz w:val="24"/>
              </w:rPr>
            </w:pPr>
          </w:p>
        </w:tc>
      </w:tr>
      <w:tr w14:paraId="0EF7C550">
        <w:tblPrEx>
          <w:tblCellMar>
            <w:top w:w="0" w:type="dxa"/>
            <w:left w:w="54" w:type="dxa"/>
            <w:bottom w:w="0" w:type="dxa"/>
            <w:right w:w="54" w:type="dxa"/>
          </w:tblCellMar>
        </w:tblPrEx>
        <w:trPr>
          <w:cantSplit/>
          <w:trHeight w:val="160" w:hRule="atLeast"/>
        </w:trPr>
        <w:tc>
          <w:tcPr>
            <w:tcW w:w="660" w:type="dxa"/>
            <w:tcBorders>
              <w:top w:val="single" w:color="auto" w:sz="4" w:space="0"/>
              <w:left w:val="single" w:color="auto" w:sz="6" w:space="0"/>
              <w:bottom w:val="single" w:color="auto" w:sz="6" w:space="0"/>
              <w:right w:val="single" w:color="auto" w:sz="4" w:space="0"/>
            </w:tcBorders>
            <w:noWrap w:val="0"/>
            <w:vAlign w:val="top"/>
          </w:tcPr>
          <w:p w14:paraId="595331DE">
            <w:pPr>
              <w:spacing w:line="320" w:lineRule="exact"/>
              <w:rPr>
                <w:rFonts w:ascii="宋体" w:hAnsi="宋体"/>
                <w:sz w:val="24"/>
              </w:rPr>
            </w:pPr>
          </w:p>
        </w:tc>
        <w:tc>
          <w:tcPr>
            <w:tcW w:w="3300" w:type="dxa"/>
            <w:tcBorders>
              <w:top w:val="single" w:color="auto" w:sz="4" w:space="0"/>
              <w:left w:val="single" w:color="auto" w:sz="4" w:space="0"/>
              <w:bottom w:val="single" w:color="auto" w:sz="6" w:space="0"/>
              <w:right w:val="single" w:color="auto" w:sz="6" w:space="0"/>
            </w:tcBorders>
            <w:noWrap w:val="0"/>
            <w:vAlign w:val="top"/>
          </w:tcPr>
          <w:p w14:paraId="0885BC25">
            <w:pPr>
              <w:spacing w:line="320" w:lineRule="exact"/>
              <w:rPr>
                <w:rFonts w:ascii="宋体" w:hAnsi="宋体"/>
                <w:sz w:val="24"/>
              </w:rPr>
            </w:pPr>
          </w:p>
        </w:tc>
        <w:tc>
          <w:tcPr>
            <w:tcW w:w="3300" w:type="dxa"/>
            <w:tcBorders>
              <w:top w:val="single" w:color="auto" w:sz="4" w:space="0"/>
              <w:left w:val="single" w:color="auto" w:sz="6" w:space="0"/>
              <w:bottom w:val="single" w:color="auto" w:sz="6" w:space="0"/>
              <w:right w:val="single" w:color="auto" w:sz="6" w:space="0"/>
            </w:tcBorders>
            <w:noWrap w:val="0"/>
            <w:vAlign w:val="top"/>
          </w:tcPr>
          <w:p w14:paraId="4CB9B73E">
            <w:pPr>
              <w:spacing w:line="320" w:lineRule="exact"/>
              <w:rPr>
                <w:rFonts w:ascii="宋体" w:hAnsi="宋体"/>
                <w:sz w:val="24"/>
              </w:rPr>
            </w:pPr>
          </w:p>
        </w:tc>
        <w:tc>
          <w:tcPr>
            <w:tcW w:w="2552" w:type="dxa"/>
            <w:tcBorders>
              <w:top w:val="single" w:color="auto" w:sz="4" w:space="0"/>
              <w:left w:val="single" w:color="auto" w:sz="4" w:space="0"/>
              <w:bottom w:val="single" w:color="auto" w:sz="6" w:space="0"/>
              <w:right w:val="single" w:color="auto" w:sz="6" w:space="0"/>
            </w:tcBorders>
            <w:noWrap w:val="0"/>
            <w:vAlign w:val="top"/>
          </w:tcPr>
          <w:p w14:paraId="316C54B3">
            <w:pPr>
              <w:spacing w:line="320" w:lineRule="exact"/>
              <w:rPr>
                <w:rFonts w:ascii="宋体" w:hAnsi="宋体"/>
                <w:sz w:val="24"/>
              </w:rPr>
            </w:pPr>
          </w:p>
        </w:tc>
      </w:tr>
      <w:tr w14:paraId="7DF4A663">
        <w:tblPrEx>
          <w:tblCellMar>
            <w:top w:w="0" w:type="dxa"/>
            <w:left w:w="54" w:type="dxa"/>
            <w:bottom w:w="0" w:type="dxa"/>
            <w:right w:w="54" w:type="dxa"/>
          </w:tblCellMar>
        </w:tblPrEx>
        <w:trPr>
          <w:trHeight w:val="160" w:hRule="atLeast"/>
        </w:trPr>
        <w:tc>
          <w:tcPr>
            <w:tcW w:w="660" w:type="dxa"/>
            <w:tcBorders>
              <w:top w:val="single" w:color="auto" w:sz="6" w:space="0"/>
              <w:left w:val="single" w:color="auto" w:sz="6" w:space="0"/>
              <w:bottom w:val="single" w:color="auto" w:sz="4" w:space="0"/>
              <w:right w:val="single" w:color="auto" w:sz="4" w:space="0"/>
            </w:tcBorders>
            <w:noWrap w:val="0"/>
            <w:vAlign w:val="top"/>
          </w:tcPr>
          <w:p w14:paraId="53A822F4">
            <w:pPr>
              <w:spacing w:line="320" w:lineRule="exact"/>
              <w:rPr>
                <w:rFonts w:ascii="宋体" w:hAnsi="宋体"/>
                <w:sz w:val="24"/>
              </w:rPr>
            </w:pPr>
          </w:p>
        </w:tc>
        <w:tc>
          <w:tcPr>
            <w:tcW w:w="3300" w:type="dxa"/>
            <w:tcBorders>
              <w:top w:val="single" w:color="auto" w:sz="6" w:space="0"/>
              <w:left w:val="single" w:color="auto" w:sz="4" w:space="0"/>
              <w:bottom w:val="single" w:color="auto" w:sz="4" w:space="0"/>
              <w:right w:val="single" w:color="auto" w:sz="6" w:space="0"/>
            </w:tcBorders>
            <w:noWrap w:val="0"/>
            <w:vAlign w:val="top"/>
          </w:tcPr>
          <w:p w14:paraId="51F334F8">
            <w:pPr>
              <w:spacing w:line="320" w:lineRule="exact"/>
              <w:rPr>
                <w:rFonts w:ascii="宋体" w:hAnsi="宋体"/>
                <w:sz w:val="24"/>
              </w:rPr>
            </w:pPr>
          </w:p>
        </w:tc>
        <w:tc>
          <w:tcPr>
            <w:tcW w:w="3300" w:type="dxa"/>
            <w:tcBorders>
              <w:top w:val="single" w:color="auto" w:sz="6" w:space="0"/>
              <w:left w:val="single" w:color="auto" w:sz="6" w:space="0"/>
              <w:bottom w:val="single" w:color="auto" w:sz="4" w:space="0"/>
              <w:right w:val="single" w:color="auto" w:sz="6" w:space="0"/>
            </w:tcBorders>
            <w:noWrap w:val="0"/>
            <w:vAlign w:val="top"/>
          </w:tcPr>
          <w:p w14:paraId="53D2D888">
            <w:pPr>
              <w:spacing w:line="320" w:lineRule="exact"/>
              <w:rPr>
                <w:rFonts w:ascii="宋体" w:hAnsi="宋体"/>
                <w:sz w:val="24"/>
              </w:rPr>
            </w:pPr>
          </w:p>
        </w:tc>
        <w:tc>
          <w:tcPr>
            <w:tcW w:w="2552" w:type="dxa"/>
            <w:tcBorders>
              <w:top w:val="single" w:color="auto" w:sz="6" w:space="0"/>
              <w:left w:val="single" w:color="auto" w:sz="4" w:space="0"/>
              <w:bottom w:val="single" w:color="auto" w:sz="4" w:space="0"/>
              <w:right w:val="single" w:color="auto" w:sz="6" w:space="0"/>
            </w:tcBorders>
            <w:noWrap w:val="0"/>
            <w:vAlign w:val="top"/>
          </w:tcPr>
          <w:p w14:paraId="4C33D8EF">
            <w:pPr>
              <w:spacing w:line="320" w:lineRule="exact"/>
              <w:rPr>
                <w:rFonts w:ascii="宋体" w:hAnsi="宋体"/>
                <w:sz w:val="24"/>
              </w:rPr>
            </w:pPr>
          </w:p>
        </w:tc>
      </w:tr>
      <w:tr w14:paraId="22575A72">
        <w:tblPrEx>
          <w:tblCellMar>
            <w:top w:w="0" w:type="dxa"/>
            <w:left w:w="54" w:type="dxa"/>
            <w:bottom w:w="0" w:type="dxa"/>
            <w:right w:w="54" w:type="dxa"/>
          </w:tblCellMar>
        </w:tblPrEx>
        <w:trPr>
          <w:trHeight w:val="160" w:hRule="atLeast"/>
        </w:trPr>
        <w:tc>
          <w:tcPr>
            <w:tcW w:w="660" w:type="dxa"/>
            <w:tcBorders>
              <w:top w:val="single" w:color="auto" w:sz="4" w:space="0"/>
              <w:left w:val="single" w:color="auto" w:sz="6" w:space="0"/>
              <w:bottom w:val="single" w:color="auto" w:sz="4" w:space="0"/>
              <w:right w:val="single" w:color="auto" w:sz="4" w:space="0"/>
            </w:tcBorders>
            <w:noWrap w:val="0"/>
            <w:vAlign w:val="top"/>
          </w:tcPr>
          <w:p w14:paraId="1FD86E52">
            <w:pPr>
              <w:spacing w:line="320" w:lineRule="exact"/>
              <w:rPr>
                <w:rFonts w:ascii="宋体" w:hAnsi="宋体"/>
                <w:sz w:val="24"/>
              </w:rPr>
            </w:pPr>
          </w:p>
        </w:tc>
        <w:tc>
          <w:tcPr>
            <w:tcW w:w="3300" w:type="dxa"/>
            <w:tcBorders>
              <w:top w:val="single" w:color="auto" w:sz="4" w:space="0"/>
              <w:left w:val="single" w:color="auto" w:sz="4" w:space="0"/>
              <w:bottom w:val="single" w:color="auto" w:sz="4" w:space="0"/>
              <w:right w:val="single" w:color="auto" w:sz="6" w:space="0"/>
            </w:tcBorders>
            <w:noWrap w:val="0"/>
            <w:vAlign w:val="top"/>
          </w:tcPr>
          <w:p w14:paraId="3C4394DD">
            <w:pPr>
              <w:spacing w:line="320" w:lineRule="exact"/>
              <w:rPr>
                <w:rFonts w:ascii="宋体" w:hAnsi="宋体"/>
                <w:sz w:val="24"/>
              </w:rPr>
            </w:pPr>
          </w:p>
        </w:tc>
        <w:tc>
          <w:tcPr>
            <w:tcW w:w="3300" w:type="dxa"/>
            <w:tcBorders>
              <w:top w:val="single" w:color="auto" w:sz="4" w:space="0"/>
              <w:left w:val="single" w:color="auto" w:sz="6" w:space="0"/>
              <w:bottom w:val="single" w:color="auto" w:sz="4" w:space="0"/>
              <w:right w:val="single" w:color="auto" w:sz="6" w:space="0"/>
            </w:tcBorders>
            <w:noWrap w:val="0"/>
            <w:vAlign w:val="top"/>
          </w:tcPr>
          <w:p w14:paraId="77AAC679">
            <w:pPr>
              <w:spacing w:line="320" w:lineRule="exact"/>
              <w:rPr>
                <w:rFonts w:ascii="宋体" w:hAnsi="宋体"/>
                <w:sz w:val="24"/>
              </w:rPr>
            </w:pPr>
          </w:p>
        </w:tc>
        <w:tc>
          <w:tcPr>
            <w:tcW w:w="2552" w:type="dxa"/>
            <w:tcBorders>
              <w:top w:val="single" w:color="auto" w:sz="4" w:space="0"/>
              <w:left w:val="single" w:color="auto" w:sz="4" w:space="0"/>
              <w:bottom w:val="single" w:color="auto" w:sz="4" w:space="0"/>
              <w:right w:val="single" w:color="auto" w:sz="6" w:space="0"/>
            </w:tcBorders>
            <w:noWrap w:val="0"/>
            <w:vAlign w:val="top"/>
          </w:tcPr>
          <w:p w14:paraId="27D1077E">
            <w:pPr>
              <w:spacing w:line="320" w:lineRule="exact"/>
              <w:rPr>
                <w:rFonts w:ascii="宋体" w:hAnsi="宋体"/>
                <w:sz w:val="24"/>
              </w:rPr>
            </w:pPr>
          </w:p>
        </w:tc>
      </w:tr>
    </w:tbl>
    <w:p w14:paraId="11CD9920">
      <w:pPr>
        <w:spacing w:line="320" w:lineRule="exact"/>
        <w:outlineLvl w:val="0"/>
        <w:rPr>
          <w:rFonts w:hint="eastAsia" w:ascii="宋体" w:hAnsi="宋体"/>
          <w:b/>
          <w:sz w:val="24"/>
        </w:rPr>
      </w:pPr>
    </w:p>
    <w:p w14:paraId="63B9C0A9">
      <w:pPr>
        <w:spacing w:line="320" w:lineRule="exact"/>
        <w:outlineLvl w:val="0"/>
        <w:rPr>
          <w:rFonts w:hint="eastAsia" w:ascii="宋体" w:hAnsi="宋体"/>
          <w:b/>
          <w:sz w:val="24"/>
        </w:rPr>
      </w:pPr>
      <w:r>
        <w:rPr>
          <w:rFonts w:hint="eastAsia" w:ascii="宋体" w:hAnsi="宋体"/>
          <w:b/>
          <w:sz w:val="24"/>
        </w:rPr>
        <w:t>注：1、招标规格填写采购文件要求。</w:t>
      </w:r>
    </w:p>
    <w:p w14:paraId="57B5DC93">
      <w:pPr>
        <w:spacing w:line="320" w:lineRule="exact"/>
        <w:ind w:firstLine="482" w:firstLineChars="200"/>
        <w:outlineLvl w:val="0"/>
        <w:rPr>
          <w:rFonts w:hint="eastAsia" w:ascii="宋体" w:hAnsi="宋体"/>
          <w:b/>
          <w:sz w:val="24"/>
        </w:rPr>
      </w:pPr>
      <w:r>
        <w:rPr>
          <w:rFonts w:hint="eastAsia" w:ascii="宋体" w:hAnsi="宋体"/>
          <w:b/>
          <w:sz w:val="24"/>
        </w:rPr>
        <w:t>2、</w:t>
      </w:r>
      <w:r>
        <w:rPr>
          <w:rFonts w:hint="eastAsia" w:ascii="宋体" w:hAnsi="宋体"/>
          <w:b/>
          <w:bCs/>
          <w:sz w:val="24"/>
        </w:rPr>
        <w:t>投标规格填写所投产品规格</w:t>
      </w:r>
      <w:r>
        <w:rPr>
          <w:rFonts w:hint="eastAsia" w:ascii="宋体" w:hAnsi="宋体"/>
          <w:b/>
          <w:sz w:val="24"/>
        </w:rPr>
        <w:t>。不接受有选择性的参数。</w:t>
      </w:r>
    </w:p>
    <w:p w14:paraId="7E53210C">
      <w:pPr>
        <w:spacing w:line="320" w:lineRule="exact"/>
        <w:ind w:firstLine="480"/>
        <w:jc w:val="left"/>
        <w:outlineLvl w:val="0"/>
        <w:rPr>
          <w:rFonts w:hint="eastAsia" w:ascii="宋体" w:hAnsi="宋体"/>
          <w:b/>
          <w:sz w:val="24"/>
        </w:rPr>
      </w:pPr>
      <w:r>
        <w:rPr>
          <w:rFonts w:hint="eastAsia"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1724025</wp:posOffset>
                </wp:positionH>
                <wp:positionV relativeFrom="paragraph">
                  <wp:posOffset>142875</wp:posOffset>
                </wp:positionV>
                <wp:extent cx="1600200" cy="0"/>
                <wp:effectExtent l="0" t="4445" r="0" b="5080"/>
                <wp:wrapNone/>
                <wp:docPr id="1" name="Line 7"/>
                <wp:cNvGraphicFramePr/>
                <a:graphic xmlns:a="http://schemas.openxmlformats.org/drawingml/2006/main">
                  <a:graphicData uri="http://schemas.microsoft.com/office/word/2010/wordprocessingShape">
                    <wps:wsp>
                      <wps:cNvCnPr>
                        <a:cxnSpLocks noChangeShapeType="1"/>
                      </wps:cNvCnPr>
                      <wps:spPr>
                        <a:xfrm>
                          <a:off x="0" y="0"/>
                          <a:ext cx="1600200" cy="0"/>
                        </a:xfrm>
                        <a:prstGeom prst="line">
                          <a:avLst/>
                        </a:prstGeom>
                        <a:noFill/>
                        <a:ln w="9525">
                          <a:solidFill>
                            <a:srgbClr val="000000"/>
                          </a:solidFill>
                        </a:ln>
                        <a:effectLst/>
                      </wps:spPr>
                      <wps:bodyPr rot="0" vert="horz" wrap="square" lIns="91440" tIns="45720" rIns="91440" bIns="45720" anchor="t" anchorCtr="0"/>
                    </wps:wsp>
                  </a:graphicData>
                </a:graphic>
              </wp:anchor>
            </w:drawing>
          </mc:Choice>
          <mc:Fallback>
            <w:pict>
              <v:line id="Line 7" o:spid="_x0000_s1026" o:spt="20" style="position:absolute;left:0pt;margin-left:135.75pt;margin-top:11.25pt;height:0pt;width:126pt;z-index:251659264;mso-width-relative:page;mso-height-relative:page;" filled="f" stroked="t" coordsize="21600,21600" o:gfxdata="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vGC81QAAAAkBAAAPAAAAAAAAAAEAIAAAACIAAABkcnMvZG93bnJldi54bWxQSwEC&#10;FAAUAAAACACHTuJA7kmZevcBAAAEBAAADgAAAAAAAAABACAAAAAkAQAAZHJzL2Uyb0RvYy54bWxQ&#10;SwUGAAAAAAYABgBZAQAAjQUAAAAA&#10;">
                <v:fill on="f" focussize="0,0"/>
                <v:stroke color="#000000" joinstyle="round"/>
                <v:imagedata o:title=""/>
                <o:lock v:ext="edit" aspectratio="f"/>
              </v:line>
            </w:pict>
          </mc:Fallback>
        </mc:AlternateContent>
      </w:r>
      <w:r>
        <w:rPr>
          <w:rFonts w:hint="eastAsia" w:ascii="宋体" w:hAnsi="宋体"/>
          <w:b/>
          <w:sz w:val="24"/>
        </w:rPr>
        <w:t xml:space="preserve">   投标人代表签名：</w:t>
      </w:r>
    </w:p>
    <w:p w14:paraId="671BC8C3">
      <w:pPr>
        <w:spacing w:line="360" w:lineRule="exact"/>
        <w:outlineLvl w:val="0"/>
        <w:rPr>
          <w:rFonts w:hint="eastAsia" w:ascii="宋体" w:hAnsi="宋体"/>
          <w:b/>
          <w:sz w:val="24"/>
        </w:rPr>
      </w:pPr>
    </w:p>
    <w:p w14:paraId="5ABE399D">
      <w:pPr>
        <w:spacing w:line="360" w:lineRule="exact"/>
        <w:jc w:val="center"/>
        <w:rPr>
          <w:rFonts w:hint="eastAsia" w:ascii="宋体" w:hAnsi="宋体"/>
          <w:b/>
          <w:sz w:val="28"/>
          <w:szCs w:val="28"/>
        </w:rPr>
      </w:pPr>
    </w:p>
    <w:p w14:paraId="53971277">
      <w:pPr>
        <w:spacing w:line="360" w:lineRule="exact"/>
        <w:jc w:val="center"/>
        <w:rPr>
          <w:rFonts w:hint="eastAsia" w:ascii="宋体" w:hAnsi="宋体"/>
          <w:b/>
          <w:sz w:val="28"/>
          <w:szCs w:val="28"/>
        </w:rPr>
      </w:pPr>
    </w:p>
    <w:p w14:paraId="48787E31">
      <w:pPr>
        <w:spacing w:line="360" w:lineRule="exact"/>
        <w:jc w:val="center"/>
        <w:rPr>
          <w:rFonts w:hint="eastAsia" w:ascii="宋体" w:hAnsi="宋体"/>
          <w:b/>
          <w:sz w:val="28"/>
          <w:szCs w:val="28"/>
        </w:rPr>
      </w:pPr>
    </w:p>
    <w:p w14:paraId="0086C7D7">
      <w:pPr>
        <w:spacing w:line="360" w:lineRule="exact"/>
        <w:jc w:val="center"/>
        <w:rPr>
          <w:rFonts w:hint="eastAsia" w:ascii="宋体" w:hAnsi="宋体"/>
          <w:b/>
          <w:sz w:val="28"/>
          <w:szCs w:val="28"/>
        </w:rPr>
      </w:pPr>
    </w:p>
    <w:p w14:paraId="614FDF97">
      <w:pPr>
        <w:spacing w:line="360" w:lineRule="exact"/>
        <w:jc w:val="center"/>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售后服务计划</w:t>
      </w:r>
    </w:p>
    <w:p w14:paraId="2D490EAB">
      <w:pPr>
        <w:spacing w:line="360" w:lineRule="exact"/>
        <w:jc w:val="center"/>
        <w:rPr>
          <w:rFonts w:hint="eastAsia" w:ascii="宋体" w:hAnsi="宋体"/>
          <w:b/>
          <w:sz w:val="24"/>
        </w:rPr>
      </w:pPr>
    </w:p>
    <w:p w14:paraId="68C1E9E0">
      <w:pPr>
        <w:spacing w:line="360" w:lineRule="exact"/>
        <w:rPr>
          <w:rFonts w:hint="eastAsia" w:ascii="宋体" w:hAnsi="宋体"/>
          <w:sz w:val="24"/>
        </w:rPr>
      </w:pPr>
      <w:r>
        <w:rPr>
          <w:rFonts w:hint="eastAsia" w:ascii="宋体" w:hAnsi="宋体"/>
          <w:sz w:val="24"/>
        </w:rPr>
        <w:t xml:space="preserve">                                   （自拟）</w:t>
      </w:r>
    </w:p>
    <w:p w14:paraId="35F1BCCF">
      <w:pPr>
        <w:spacing w:line="360" w:lineRule="exact"/>
        <w:jc w:val="center"/>
        <w:outlineLvl w:val="0"/>
        <w:rPr>
          <w:rFonts w:hint="eastAsia" w:ascii="宋体" w:hAnsi="宋体"/>
          <w:b/>
          <w:sz w:val="24"/>
        </w:rPr>
      </w:pPr>
    </w:p>
    <w:p w14:paraId="72BE1781">
      <w:pPr>
        <w:spacing w:line="360" w:lineRule="exact"/>
        <w:jc w:val="center"/>
        <w:outlineLvl w:val="0"/>
        <w:rPr>
          <w:rFonts w:hint="eastAsia" w:ascii="宋体" w:hAnsi="宋体"/>
          <w:b/>
          <w:sz w:val="28"/>
          <w:szCs w:val="28"/>
        </w:rPr>
      </w:pPr>
    </w:p>
    <w:p w14:paraId="0244BF20">
      <w:pPr>
        <w:spacing w:line="360" w:lineRule="exact"/>
        <w:jc w:val="center"/>
        <w:outlineLvl w:val="0"/>
        <w:rPr>
          <w:rFonts w:hint="eastAsia" w:ascii="宋体" w:hAnsi="宋体"/>
          <w:b/>
          <w:sz w:val="28"/>
          <w:szCs w:val="28"/>
        </w:rPr>
      </w:pPr>
    </w:p>
    <w:p w14:paraId="56EB43EF">
      <w:pPr>
        <w:spacing w:line="360" w:lineRule="exact"/>
        <w:jc w:val="center"/>
        <w:outlineLvl w:val="0"/>
        <w:rPr>
          <w:rFonts w:hint="eastAsia" w:ascii="宋体" w:hAnsi="宋体"/>
          <w:b/>
          <w:sz w:val="28"/>
          <w:szCs w:val="28"/>
        </w:rPr>
      </w:pPr>
    </w:p>
    <w:p w14:paraId="715EC3CF">
      <w:pPr>
        <w:spacing w:line="360" w:lineRule="exact"/>
        <w:jc w:val="center"/>
        <w:outlineLvl w:val="0"/>
        <w:rPr>
          <w:rFonts w:hint="eastAsia" w:ascii="宋体" w:hAnsi="宋体"/>
          <w:b/>
          <w:sz w:val="28"/>
          <w:szCs w:val="28"/>
        </w:rPr>
      </w:pPr>
    </w:p>
    <w:p w14:paraId="30D78DD5">
      <w:pPr>
        <w:spacing w:line="360" w:lineRule="exact"/>
        <w:jc w:val="center"/>
        <w:outlineLvl w:val="0"/>
        <w:rPr>
          <w:rFonts w:hint="eastAsia" w:ascii="宋体" w:hAnsi="宋体"/>
          <w:b/>
          <w:sz w:val="28"/>
          <w:szCs w:val="28"/>
        </w:rPr>
      </w:pPr>
    </w:p>
    <w:p w14:paraId="46AF542D">
      <w:pPr>
        <w:spacing w:line="360" w:lineRule="exact"/>
        <w:jc w:val="center"/>
        <w:outlineLvl w:val="0"/>
        <w:rPr>
          <w:rFonts w:hint="eastAsia" w:ascii="宋体" w:hAnsi="宋体"/>
          <w:b/>
          <w:sz w:val="28"/>
          <w:szCs w:val="28"/>
        </w:rPr>
      </w:pPr>
    </w:p>
    <w:p w14:paraId="7CE49330">
      <w:pPr>
        <w:spacing w:line="360" w:lineRule="exact"/>
        <w:jc w:val="center"/>
        <w:outlineLvl w:val="0"/>
        <w:rPr>
          <w:rFonts w:hint="eastAsia" w:ascii="宋体" w:hAnsi="宋体"/>
          <w:b/>
          <w:sz w:val="28"/>
          <w:szCs w:val="28"/>
        </w:rPr>
      </w:pPr>
    </w:p>
    <w:p w14:paraId="707F2F6F">
      <w:pPr>
        <w:spacing w:line="360" w:lineRule="exact"/>
        <w:jc w:val="center"/>
        <w:outlineLvl w:val="0"/>
        <w:rPr>
          <w:rFonts w:hint="eastAsia" w:ascii="宋体" w:hAnsi="宋体"/>
          <w:b/>
          <w:sz w:val="28"/>
          <w:szCs w:val="28"/>
        </w:rPr>
      </w:pPr>
    </w:p>
    <w:p w14:paraId="44DA72A9">
      <w:pPr>
        <w:spacing w:line="360" w:lineRule="exact"/>
        <w:jc w:val="center"/>
        <w:outlineLvl w:val="0"/>
        <w:rPr>
          <w:rFonts w:hint="eastAsia" w:ascii="宋体" w:hAnsi="宋体"/>
          <w:b/>
          <w:sz w:val="28"/>
          <w:szCs w:val="28"/>
        </w:rPr>
      </w:pPr>
    </w:p>
    <w:p w14:paraId="387C2BCB">
      <w:pPr>
        <w:spacing w:line="360" w:lineRule="exact"/>
        <w:jc w:val="center"/>
        <w:outlineLvl w:val="0"/>
        <w:rPr>
          <w:rFonts w:hint="eastAsia" w:ascii="宋体" w:hAnsi="宋体"/>
          <w:b/>
          <w:sz w:val="28"/>
          <w:szCs w:val="28"/>
        </w:rPr>
      </w:pPr>
    </w:p>
    <w:p w14:paraId="42CFCE89">
      <w:pPr>
        <w:pStyle w:val="3"/>
        <w:keepNext w:val="0"/>
        <w:keepLines w:val="0"/>
        <w:spacing w:line="360" w:lineRule="exact"/>
        <w:rPr>
          <w:rFonts w:hint="eastAsia" w:ascii="宋体" w:hAnsi="宋体" w:eastAsia="宋体"/>
          <w:sz w:val="24"/>
          <w:szCs w:val="24"/>
        </w:rPr>
      </w:pPr>
    </w:p>
    <w:p w14:paraId="0E09B838">
      <w:pPr>
        <w:pStyle w:val="3"/>
        <w:keepNext w:val="0"/>
        <w:keepLines w:val="0"/>
        <w:spacing w:line="360" w:lineRule="exact"/>
        <w:rPr>
          <w:rFonts w:hint="eastAsia" w:ascii="宋体" w:hAnsi="宋体" w:eastAsia="宋体"/>
          <w:sz w:val="24"/>
          <w:szCs w:val="24"/>
        </w:rPr>
      </w:pPr>
      <w:r>
        <w:rPr>
          <w:rFonts w:hint="eastAsia" w:ascii="宋体" w:hAnsi="宋体" w:eastAsia="宋体"/>
          <w:sz w:val="24"/>
          <w:szCs w:val="24"/>
          <w:lang w:val="en-US" w:eastAsia="zh-CN"/>
        </w:rPr>
        <w:t>8.</w:t>
      </w:r>
      <w:r>
        <w:rPr>
          <w:rFonts w:hint="eastAsia" w:ascii="宋体" w:hAnsi="宋体" w:eastAsia="宋体"/>
          <w:sz w:val="24"/>
          <w:szCs w:val="24"/>
        </w:rPr>
        <w:t>法定代表人授权书</w:t>
      </w:r>
      <w:r>
        <w:rPr>
          <w:rFonts w:ascii="宋体" w:hAnsi="宋体" w:eastAsia="宋体"/>
          <w:sz w:val="24"/>
          <w:szCs w:val="24"/>
        </w:rPr>
        <w:t>(</w:t>
      </w:r>
      <w:r>
        <w:rPr>
          <w:rFonts w:hint="eastAsia" w:ascii="宋体" w:hAnsi="宋体" w:eastAsia="宋体"/>
          <w:sz w:val="24"/>
          <w:szCs w:val="24"/>
        </w:rPr>
        <w:t>格式</w:t>
      </w:r>
      <w:r>
        <w:rPr>
          <w:rFonts w:ascii="宋体" w:hAnsi="宋体" w:eastAsia="宋体"/>
          <w:sz w:val="24"/>
          <w:szCs w:val="24"/>
        </w:rPr>
        <w:t>)</w:t>
      </w:r>
    </w:p>
    <w:p w14:paraId="0EB3F985">
      <w:pPr>
        <w:pStyle w:val="5"/>
        <w:spacing w:line="360" w:lineRule="exact"/>
        <w:ind w:firstLine="480"/>
        <w:jc w:val="center"/>
        <w:rPr>
          <w:rFonts w:hint="eastAsia" w:ascii="宋体" w:hAnsi="宋体"/>
          <w:sz w:val="24"/>
        </w:rPr>
      </w:pPr>
      <w:r>
        <w:rPr>
          <w:rFonts w:hint="eastAsia" w:ascii="宋体" w:hAnsi="宋体"/>
          <w:sz w:val="24"/>
        </w:rPr>
        <w:t>法定代表人授权书</w:t>
      </w:r>
    </w:p>
    <w:p w14:paraId="7C8D872C">
      <w:pPr>
        <w:pStyle w:val="5"/>
        <w:spacing w:line="360" w:lineRule="exact"/>
        <w:ind w:firstLine="480"/>
        <w:jc w:val="center"/>
        <w:rPr>
          <w:rFonts w:hint="eastAsia" w:hAnsi="宋体"/>
          <w:sz w:val="24"/>
        </w:rPr>
      </w:pPr>
    </w:p>
    <w:p w14:paraId="2C72FB46">
      <w:pPr>
        <w:pStyle w:val="8"/>
        <w:spacing w:line="360" w:lineRule="exact"/>
        <w:rPr>
          <w:rFonts w:hint="eastAsia" w:hAnsi="宋体"/>
          <w:sz w:val="24"/>
        </w:rPr>
      </w:pPr>
      <w:r>
        <w:rPr>
          <w:rFonts w:hint="eastAsia" w:hAnsi="宋体"/>
          <w:sz w:val="24"/>
        </w:rPr>
        <w:t xml:space="preserve">    本授权书声明：注册于</w:t>
      </w:r>
      <w:r>
        <w:rPr>
          <w:rFonts w:hint="eastAsia" w:hAnsi="宋体"/>
          <w:sz w:val="24"/>
          <w:u w:val="single"/>
        </w:rPr>
        <w:t>（国家或地区的名称）</w:t>
      </w:r>
      <w:r>
        <w:rPr>
          <w:rFonts w:hint="eastAsia" w:hAnsi="宋体"/>
          <w:sz w:val="24"/>
        </w:rPr>
        <w:t>的（</w:t>
      </w:r>
      <w:r>
        <w:rPr>
          <w:rFonts w:hint="eastAsia" w:hAnsi="宋体"/>
          <w:sz w:val="24"/>
          <w:u w:val="single"/>
        </w:rPr>
        <w:t>公司名称</w:t>
      </w:r>
      <w:r>
        <w:rPr>
          <w:rFonts w:hint="eastAsia" w:hAnsi="宋体"/>
          <w:sz w:val="24"/>
        </w:rPr>
        <w:t>）的在下面签字的（法人代表姓名、职务）代表本公司授权（</w:t>
      </w:r>
      <w:r>
        <w:rPr>
          <w:rFonts w:hint="eastAsia" w:hAnsi="宋体"/>
          <w:sz w:val="24"/>
          <w:u w:val="single"/>
        </w:rPr>
        <w:t>单位名称</w:t>
      </w:r>
      <w:r>
        <w:rPr>
          <w:rFonts w:hint="eastAsia" w:hAnsi="宋体"/>
          <w:sz w:val="24"/>
        </w:rPr>
        <w:t>）的在下面签字的（</w:t>
      </w:r>
      <w:r>
        <w:rPr>
          <w:rFonts w:hint="eastAsia" w:hAnsi="宋体"/>
          <w:sz w:val="24"/>
          <w:u w:val="single"/>
        </w:rPr>
        <w:t>被授权人的姓名、职务</w:t>
      </w:r>
      <w:r>
        <w:rPr>
          <w:rFonts w:hint="eastAsia" w:hAnsi="宋体"/>
          <w:sz w:val="24"/>
        </w:rPr>
        <w:t>）为本公司的合法代理人，就（</w:t>
      </w:r>
      <w:r>
        <w:rPr>
          <w:rFonts w:hint="eastAsia" w:hAnsi="宋体"/>
          <w:sz w:val="24"/>
          <w:u w:val="single"/>
        </w:rPr>
        <w:t>项目名称</w:t>
      </w:r>
      <w:r>
        <w:rPr>
          <w:rFonts w:hint="eastAsia" w:hAnsi="宋体"/>
          <w:sz w:val="24"/>
        </w:rPr>
        <w:t>）的投标，以本公司名义处理一切与之有关的事务。</w:t>
      </w:r>
      <w:r>
        <w:rPr>
          <w:rFonts w:hint="eastAsia" w:hAnsi="宋体"/>
          <w:sz w:val="24"/>
        </w:rPr>
        <w:cr/>
      </w:r>
      <w:r>
        <w:rPr>
          <w:rFonts w:hint="eastAsia" w:hAnsi="宋体"/>
          <w:sz w:val="24"/>
        </w:rPr>
        <w:t>　　</w:t>
      </w:r>
    </w:p>
    <w:p w14:paraId="3EA045F0">
      <w:pPr>
        <w:pStyle w:val="8"/>
        <w:tabs>
          <w:tab w:val="left" w:pos="5580"/>
        </w:tabs>
        <w:spacing w:line="360" w:lineRule="exact"/>
        <w:ind w:firstLine="480"/>
        <w:rPr>
          <w:rFonts w:hint="eastAsia" w:hAnsi="宋体"/>
          <w:sz w:val="24"/>
        </w:rPr>
      </w:pPr>
      <w:r>
        <w:rPr>
          <w:rFonts w:hint="eastAsia" w:hAnsi="宋体"/>
          <w:sz w:val="24"/>
        </w:rPr>
        <w:t>本授权书于__________年_____月______日签字生效,特此声明。</w:t>
      </w:r>
      <w:r>
        <w:rPr>
          <w:rFonts w:hint="eastAsia" w:hAnsi="宋体"/>
          <w:sz w:val="24"/>
        </w:rPr>
        <w:cr/>
      </w:r>
      <w:r>
        <w:rPr>
          <w:rFonts w:hint="eastAsia" w:hAnsi="宋体"/>
          <w:sz w:val="24"/>
        </w:rPr>
        <w:cr/>
      </w:r>
      <w:r>
        <w:rPr>
          <w:rFonts w:hint="eastAsia" w:hAnsi="宋体"/>
          <w:sz w:val="24"/>
        </w:rPr>
        <w:cr/>
      </w:r>
      <w:r>
        <w:rPr>
          <w:rFonts w:hint="eastAsia" w:hAnsi="宋体"/>
          <w:sz w:val="24"/>
        </w:rPr>
        <w:t>法定代表人签字_______________________________</w:t>
      </w:r>
    </w:p>
    <w:p w14:paraId="5814192F">
      <w:pPr>
        <w:pStyle w:val="8"/>
        <w:tabs>
          <w:tab w:val="left" w:pos="5580"/>
        </w:tabs>
        <w:spacing w:line="360" w:lineRule="exact"/>
        <w:rPr>
          <w:rFonts w:hint="eastAsia" w:hAnsi="宋体"/>
          <w:sz w:val="24"/>
        </w:rPr>
      </w:pPr>
      <w:r>
        <w:rPr>
          <w:rFonts w:hint="eastAsia" w:hAnsi="宋体"/>
          <w:sz w:val="24"/>
        </w:rPr>
        <w:cr/>
      </w:r>
      <w:r>
        <w:rPr>
          <w:rFonts w:hint="eastAsia" w:hAnsi="宋体"/>
          <w:sz w:val="24"/>
        </w:rPr>
        <w:t>被授权人签字_______________________________</w:t>
      </w:r>
    </w:p>
    <w:p w14:paraId="63069F4B">
      <w:pPr>
        <w:pStyle w:val="8"/>
        <w:tabs>
          <w:tab w:val="left" w:pos="5580"/>
        </w:tabs>
        <w:spacing w:line="360" w:lineRule="exact"/>
        <w:rPr>
          <w:rFonts w:hint="eastAsia" w:hAnsi="宋体"/>
          <w:sz w:val="24"/>
        </w:rPr>
      </w:pPr>
      <w:r>
        <w:rPr>
          <w:rFonts w:hint="eastAsia" w:hAnsi="宋体"/>
          <w:sz w:val="24"/>
        </w:rPr>
        <w:cr/>
      </w:r>
      <w:r>
        <w:rPr>
          <w:rFonts w:hint="eastAsia" w:hAnsi="宋体"/>
          <w:sz w:val="24"/>
        </w:rPr>
        <w:t>公司盖章：</w:t>
      </w:r>
    </w:p>
    <w:p w14:paraId="4C8AE8A5">
      <w:pPr>
        <w:pStyle w:val="8"/>
        <w:tabs>
          <w:tab w:val="left" w:pos="5580"/>
        </w:tabs>
        <w:spacing w:line="360" w:lineRule="exact"/>
        <w:rPr>
          <w:rFonts w:hint="eastAsia" w:hAnsi="宋体"/>
          <w:sz w:val="24"/>
        </w:rPr>
      </w:pPr>
      <w:r>
        <w:rPr>
          <w:rFonts w:hint="eastAsia" w:hAnsi="宋体"/>
          <w:sz w:val="24"/>
        </w:rPr>
        <w:t xml:space="preserve">                                 </w:t>
      </w:r>
    </w:p>
    <w:p w14:paraId="2D3EAF7A">
      <w:pPr>
        <w:pStyle w:val="8"/>
        <w:tabs>
          <w:tab w:val="left" w:pos="5580"/>
        </w:tabs>
        <w:spacing w:line="360" w:lineRule="exact"/>
        <w:rPr>
          <w:rFonts w:hint="eastAsia" w:hAnsi="宋体"/>
          <w:sz w:val="24"/>
        </w:rPr>
      </w:pPr>
      <w:r>
        <w:rPr>
          <w:rFonts w:hint="eastAsia" w:hAnsi="宋体"/>
          <w:sz w:val="24"/>
        </w:rPr>
        <w:t>附：</w:t>
      </w:r>
    </w:p>
    <w:p w14:paraId="2EA2E3D0">
      <w:pPr>
        <w:pStyle w:val="8"/>
        <w:tabs>
          <w:tab w:val="left" w:pos="5580"/>
        </w:tabs>
        <w:spacing w:line="360" w:lineRule="exact"/>
        <w:rPr>
          <w:rFonts w:hint="eastAsia" w:hAnsi="宋体"/>
          <w:sz w:val="24"/>
        </w:rPr>
      </w:pPr>
      <w:r>
        <w:rPr>
          <w:rFonts w:hint="eastAsia" w:hAnsi="宋体"/>
          <w:sz w:val="24"/>
        </w:rPr>
        <w:t>被授权人姓名：</w:t>
      </w:r>
    </w:p>
    <w:p w14:paraId="3F33722A">
      <w:pPr>
        <w:pStyle w:val="8"/>
        <w:tabs>
          <w:tab w:val="left" w:pos="5580"/>
        </w:tabs>
        <w:spacing w:line="360" w:lineRule="exact"/>
        <w:rPr>
          <w:rFonts w:hint="eastAsia" w:hAnsi="宋体"/>
          <w:sz w:val="24"/>
        </w:rPr>
      </w:pPr>
      <w:r>
        <w:rPr>
          <w:rFonts w:hint="eastAsia" w:hAnsi="宋体"/>
          <w:sz w:val="24"/>
        </w:rPr>
        <w:t>职　　　　务：</w:t>
      </w:r>
    </w:p>
    <w:p w14:paraId="52BD590C">
      <w:pPr>
        <w:pStyle w:val="8"/>
        <w:tabs>
          <w:tab w:val="left" w:pos="5580"/>
        </w:tabs>
        <w:spacing w:line="360" w:lineRule="exact"/>
        <w:rPr>
          <w:rFonts w:hint="eastAsia" w:hAnsi="宋体"/>
          <w:sz w:val="24"/>
        </w:rPr>
      </w:pPr>
      <w:r>
        <w:rPr>
          <w:rFonts w:hint="eastAsia" w:hAnsi="宋体"/>
          <w:sz w:val="24"/>
        </w:rPr>
        <w:t>详细通讯地址：</w:t>
      </w:r>
    </w:p>
    <w:p w14:paraId="25E73AA4">
      <w:pPr>
        <w:pStyle w:val="8"/>
        <w:tabs>
          <w:tab w:val="left" w:pos="5580"/>
        </w:tabs>
        <w:spacing w:line="360" w:lineRule="exact"/>
        <w:rPr>
          <w:rFonts w:hint="eastAsia" w:hAnsi="宋体"/>
          <w:sz w:val="24"/>
        </w:rPr>
      </w:pPr>
      <w:r>
        <w:rPr>
          <w:rFonts w:hint="eastAsia" w:hAnsi="宋体"/>
          <w:sz w:val="24"/>
        </w:rPr>
        <w:t>邮政编码　　：</w:t>
      </w:r>
    </w:p>
    <w:p w14:paraId="54E16024">
      <w:pPr>
        <w:pStyle w:val="8"/>
        <w:tabs>
          <w:tab w:val="left" w:pos="5580"/>
        </w:tabs>
        <w:spacing w:line="360" w:lineRule="exact"/>
        <w:rPr>
          <w:rFonts w:hint="eastAsia" w:hAnsi="宋体"/>
          <w:sz w:val="24"/>
        </w:rPr>
      </w:pPr>
      <w:r>
        <w:rPr>
          <w:rFonts w:hint="eastAsia" w:hAnsi="宋体"/>
          <w:sz w:val="24"/>
        </w:rPr>
        <w:t>传　　　　真：</w:t>
      </w:r>
    </w:p>
    <w:p w14:paraId="1EAFAD9F">
      <w:pPr>
        <w:pStyle w:val="8"/>
        <w:tabs>
          <w:tab w:val="left" w:pos="5580"/>
        </w:tabs>
        <w:spacing w:line="360" w:lineRule="exact"/>
        <w:rPr>
          <w:rFonts w:hint="eastAsia"/>
        </w:rPr>
      </w:pPr>
      <w:r>
        <w:rPr>
          <w:rFonts w:hint="eastAsia"/>
        </w:rPr>
        <w:t>电　　　　话：</w:t>
      </w:r>
    </w:p>
    <w:p w14:paraId="3CD2FA3B">
      <w:pPr>
        <w:pStyle w:val="8"/>
        <w:tabs>
          <w:tab w:val="left" w:pos="5580"/>
        </w:tabs>
        <w:spacing w:line="360" w:lineRule="exact"/>
        <w:rPr>
          <w:rFonts w:hint="eastAsia"/>
        </w:rPr>
      </w:pPr>
    </w:p>
    <w:tbl>
      <w:tblPr>
        <w:tblStyle w:val="17"/>
        <w:tblpPr w:leftFromText="180" w:rightFromText="180" w:vertAnchor="text" w:horzAnchor="margin" w:tblpY="2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3"/>
      </w:tblGrid>
      <w:tr w14:paraId="2A59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4523" w:type="dxa"/>
            <w:noWrap w:val="0"/>
            <w:vAlign w:val="center"/>
          </w:tcPr>
          <w:p w14:paraId="0FADBDC0">
            <w:pPr>
              <w:spacing w:line="360" w:lineRule="exact"/>
              <w:jc w:val="center"/>
              <w:rPr>
                <w:rFonts w:hint="eastAsia" w:ascii="宋体" w:hAnsi="宋体"/>
                <w:sz w:val="24"/>
              </w:rPr>
            </w:pPr>
            <w:r>
              <w:rPr>
                <w:rFonts w:hint="eastAsia" w:ascii="宋体" w:hAnsi="宋体"/>
                <w:sz w:val="24"/>
              </w:rPr>
              <w:t>粘贴</w:t>
            </w:r>
          </w:p>
          <w:p w14:paraId="697ECA3C">
            <w:pPr>
              <w:spacing w:line="360" w:lineRule="exact"/>
              <w:jc w:val="center"/>
              <w:rPr>
                <w:rFonts w:hint="eastAsia" w:ascii="宋体" w:hAnsi="宋体"/>
                <w:sz w:val="24"/>
              </w:rPr>
            </w:pPr>
            <w:r>
              <w:rPr>
                <w:rFonts w:hint="eastAsia" w:ascii="宋体" w:hAnsi="宋体"/>
                <w:sz w:val="24"/>
              </w:rPr>
              <w:t>法人及投标方代表身份证复印件</w:t>
            </w:r>
          </w:p>
        </w:tc>
      </w:tr>
    </w:tbl>
    <w:p w14:paraId="1DDADF28">
      <w:pPr>
        <w:pStyle w:val="8"/>
        <w:tabs>
          <w:tab w:val="left" w:pos="5580"/>
        </w:tabs>
        <w:spacing w:line="360" w:lineRule="exact"/>
        <w:rPr>
          <w:rFonts w:hint="eastAsia"/>
        </w:rPr>
      </w:pPr>
    </w:p>
    <w:p w14:paraId="6A539090">
      <w:pPr>
        <w:pStyle w:val="8"/>
        <w:tabs>
          <w:tab w:val="left" w:pos="5580"/>
        </w:tabs>
        <w:spacing w:line="360" w:lineRule="exact"/>
        <w:rPr>
          <w:rFonts w:hint="eastAsia"/>
        </w:rPr>
      </w:pPr>
    </w:p>
    <w:p w14:paraId="640AF700">
      <w:pPr>
        <w:pStyle w:val="8"/>
        <w:tabs>
          <w:tab w:val="left" w:pos="5580"/>
        </w:tabs>
        <w:spacing w:line="360" w:lineRule="exact"/>
        <w:rPr>
          <w:rFonts w:hint="eastAsia"/>
        </w:rPr>
      </w:pPr>
    </w:p>
    <w:p w14:paraId="5F84272F">
      <w:pPr>
        <w:pStyle w:val="8"/>
        <w:tabs>
          <w:tab w:val="left" w:pos="5580"/>
        </w:tabs>
        <w:spacing w:line="360" w:lineRule="exact"/>
        <w:rPr>
          <w:rFonts w:hint="eastAsia"/>
        </w:rPr>
      </w:pPr>
    </w:p>
    <w:p w14:paraId="24577B7E">
      <w:pPr>
        <w:pStyle w:val="8"/>
        <w:tabs>
          <w:tab w:val="left" w:pos="5580"/>
        </w:tabs>
        <w:spacing w:line="360" w:lineRule="exact"/>
        <w:rPr>
          <w:rFonts w:hint="eastAsia"/>
        </w:rPr>
      </w:pPr>
    </w:p>
    <w:p w14:paraId="5AE0AD7B">
      <w:pPr>
        <w:pStyle w:val="8"/>
        <w:tabs>
          <w:tab w:val="left" w:pos="5580"/>
        </w:tabs>
        <w:spacing w:line="360" w:lineRule="exact"/>
        <w:rPr>
          <w:rFonts w:hint="eastAsia"/>
        </w:rPr>
      </w:pPr>
    </w:p>
    <w:p w14:paraId="216FE364">
      <w:pPr>
        <w:pStyle w:val="8"/>
        <w:tabs>
          <w:tab w:val="left" w:pos="5580"/>
        </w:tabs>
        <w:spacing w:line="360" w:lineRule="exact"/>
        <w:rPr>
          <w:rFonts w:hint="eastAsia"/>
        </w:rPr>
      </w:pPr>
    </w:p>
    <w:p w14:paraId="4FBBC1F1">
      <w:pPr>
        <w:pStyle w:val="8"/>
        <w:tabs>
          <w:tab w:val="left" w:pos="5580"/>
        </w:tabs>
        <w:spacing w:line="360" w:lineRule="exact"/>
        <w:rPr>
          <w:rFonts w:hint="eastAsia"/>
        </w:rPr>
      </w:pPr>
    </w:p>
    <w:p w14:paraId="62CAEF92">
      <w:pPr>
        <w:pStyle w:val="8"/>
        <w:tabs>
          <w:tab w:val="left" w:pos="5580"/>
        </w:tabs>
        <w:spacing w:line="360" w:lineRule="exact"/>
        <w:rPr>
          <w:rFonts w:hint="eastAsia"/>
        </w:rPr>
      </w:pPr>
    </w:p>
    <w:p w14:paraId="11D241B8">
      <w:pPr>
        <w:pStyle w:val="8"/>
        <w:tabs>
          <w:tab w:val="left" w:pos="5580"/>
        </w:tabs>
        <w:adjustRightInd w:val="0"/>
        <w:snapToGrid w:val="0"/>
        <w:spacing w:line="300" w:lineRule="auto"/>
        <w:rPr>
          <w:rFonts w:hint="eastAsia"/>
        </w:rPr>
      </w:pPr>
    </w:p>
    <w:p w14:paraId="28160E78">
      <w:pPr>
        <w:pStyle w:val="8"/>
        <w:tabs>
          <w:tab w:val="left" w:pos="5580"/>
        </w:tabs>
        <w:adjustRightInd w:val="0"/>
        <w:snapToGrid w:val="0"/>
        <w:spacing w:line="300" w:lineRule="auto"/>
        <w:rPr>
          <w:rFonts w:hint="eastAsia"/>
        </w:rPr>
      </w:pPr>
    </w:p>
    <w:p w14:paraId="6197AED5">
      <w:pPr>
        <w:pStyle w:val="8"/>
        <w:tabs>
          <w:tab w:val="left" w:pos="5580"/>
        </w:tabs>
        <w:adjustRightInd w:val="0"/>
        <w:snapToGrid w:val="0"/>
        <w:spacing w:line="300" w:lineRule="auto"/>
        <w:rPr>
          <w:rFonts w:hint="eastAsia"/>
        </w:rPr>
      </w:pPr>
    </w:p>
    <w:p w14:paraId="1B397BD5">
      <w:pPr>
        <w:pStyle w:val="8"/>
        <w:tabs>
          <w:tab w:val="left" w:pos="5580"/>
        </w:tabs>
        <w:adjustRightInd w:val="0"/>
        <w:snapToGrid w:val="0"/>
        <w:spacing w:line="300" w:lineRule="auto"/>
        <w:rPr>
          <w:rFonts w:hint="eastAsia"/>
        </w:rPr>
      </w:pPr>
    </w:p>
    <w:p w14:paraId="74E00DFE">
      <w:pPr>
        <w:pStyle w:val="8"/>
        <w:tabs>
          <w:tab w:val="left" w:pos="5580"/>
        </w:tabs>
        <w:adjustRightInd w:val="0"/>
        <w:snapToGrid w:val="0"/>
        <w:spacing w:line="300" w:lineRule="auto"/>
        <w:rPr>
          <w:rFonts w:hint="eastAsia"/>
        </w:rPr>
      </w:pPr>
    </w:p>
    <w:p w14:paraId="15DF893F">
      <w:pPr>
        <w:pStyle w:val="8"/>
        <w:tabs>
          <w:tab w:val="left" w:pos="5580"/>
        </w:tabs>
        <w:adjustRightInd w:val="0"/>
        <w:snapToGrid w:val="0"/>
        <w:spacing w:line="300" w:lineRule="auto"/>
        <w:rPr>
          <w:rFonts w:hint="eastAsia"/>
        </w:rPr>
      </w:pPr>
    </w:p>
    <w:p w14:paraId="73D723A9">
      <w:pPr>
        <w:tabs>
          <w:tab w:val="left" w:pos="5580"/>
        </w:tabs>
        <w:adjustRightInd w:val="0"/>
        <w:snapToGrid w:val="0"/>
        <w:spacing w:line="300" w:lineRule="auto"/>
        <w:rPr>
          <w:rFonts w:hint="eastAsia"/>
          <w:sz w:val="24"/>
        </w:rPr>
      </w:pPr>
    </w:p>
    <w:p w14:paraId="276CECB6">
      <w:pPr>
        <w:pStyle w:val="3"/>
        <w:keepNext w:val="0"/>
        <w:keepLines w:val="0"/>
        <w:adjustRightInd w:val="0"/>
        <w:snapToGrid w:val="0"/>
        <w:spacing w:before="0" w:after="0" w:line="300" w:lineRule="auto"/>
        <w:rPr>
          <w:rFonts w:hint="eastAsia" w:ascii="宋体" w:hAnsi="宋体" w:eastAsia="宋体"/>
          <w:bCs w:val="0"/>
          <w:sz w:val="24"/>
          <w:szCs w:val="24"/>
        </w:rPr>
      </w:pPr>
      <w:r>
        <w:rPr>
          <w:rFonts w:hint="eastAsia" w:ascii="宋体" w:hAnsi="宋体" w:eastAsia="宋体"/>
          <w:bCs w:val="0"/>
          <w:sz w:val="24"/>
          <w:szCs w:val="24"/>
          <w:lang w:val="en-US" w:eastAsia="zh-CN"/>
        </w:rPr>
        <w:t>9.</w:t>
      </w:r>
      <w:r>
        <w:rPr>
          <w:rFonts w:hint="eastAsia" w:ascii="宋体" w:hAnsi="宋体" w:eastAsia="宋体"/>
          <w:bCs w:val="0"/>
          <w:sz w:val="24"/>
          <w:szCs w:val="24"/>
        </w:rPr>
        <w:t>投标人参加政府采购活动近三年内，在经营活动中没有重大事故、违法记录的声明</w:t>
      </w:r>
    </w:p>
    <w:p w14:paraId="5882E766">
      <w:pPr>
        <w:adjustRightInd w:val="0"/>
        <w:snapToGrid w:val="0"/>
        <w:spacing w:line="300" w:lineRule="auto"/>
        <w:jc w:val="center"/>
        <w:rPr>
          <w:rFonts w:hint="eastAsia" w:ascii="宋体" w:hAnsi="宋体"/>
          <w:sz w:val="24"/>
        </w:rPr>
      </w:pPr>
      <w:r>
        <w:rPr>
          <w:rFonts w:hint="eastAsia" w:ascii="宋体" w:hAnsi="宋体"/>
          <w:sz w:val="24"/>
        </w:rPr>
        <w:t>（须加盖本单位公章）</w:t>
      </w:r>
    </w:p>
    <w:p w14:paraId="548EFBD2">
      <w:pPr>
        <w:adjustRightInd w:val="0"/>
        <w:snapToGrid w:val="0"/>
        <w:spacing w:line="300" w:lineRule="auto"/>
        <w:rPr>
          <w:rFonts w:hint="eastAsia" w:ascii="宋体" w:hAnsi="宋体"/>
          <w:sz w:val="24"/>
        </w:rPr>
      </w:pPr>
      <w:r>
        <w:rPr>
          <w:rFonts w:hint="eastAsia" w:hAnsi="宋体"/>
          <w:sz w:val="24"/>
        </w:rPr>
        <w:t>海南</w:t>
      </w:r>
      <w:r>
        <w:rPr>
          <w:rFonts w:hint="eastAsia" w:hAnsi="宋体"/>
          <w:sz w:val="24"/>
          <w:lang w:val="en-US" w:eastAsia="zh-CN"/>
        </w:rPr>
        <w:t>热带海洋学院</w:t>
      </w:r>
      <w:r>
        <w:rPr>
          <w:rFonts w:hint="eastAsia" w:hAnsi="宋体"/>
          <w:sz w:val="24"/>
        </w:rPr>
        <w:t>：</w:t>
      </w:r>
    </w:p>
    <w:p w14:paraId="30C2F938">
      <w:pPr>
        <w:adjustRightInd w:val="0"/>
        <w:snapToGrid w:val="0"/>
        <w:spacing w:line="300" w:lineRule="auto"/>
        <w:rPr>
          <w:rFonts w:hint="eastAsia" w:ascii="宋体" w:hAnsi="宋体"/>
          <w:sz w:val="24"/>
        </w:rPr>
      </w:pPr>
    </w:p>
    <w:p w14:paraId="4405ECF3">
      <w:pPr>
        <w:adjustRightInd w:val="0"/>
        <w:snapToGrid w:val="0"/>
        <w:spacing w:line="300" w:lineRule="auto"/>
        <w:ind w:firstLine="480" w:firstLineChars="200"/>
        <w:rPr>
          <w:rFonts w:hint="eastAsia" w:ascii="宋体" w:hAnsi="宋体"/>
          <w:sz w:val="24"/>
        </w:rPr>
      </w:pPr>
      <w:r>
        <w:rPr>
          <w:rFonts w:hint="eastAsia" w:ascii="宋体" w:hAnsi="宋体"/>
          <w:sz w:val="24"/>
        </w:rPr>
        <w:t>我公司在参加本次政府采购活动前三年内，在经营活动中没有重大事故、违法记录。</w:t>
      </w:r>
    </w:p>
    <w:p w14:paraId="7CB38F3C">
      <w:pPr>
        <w:adjustRightInd w:val="0"/>
        <w:snapToGrid w:val="0"/>
        <w:spacing w:line="300" w:lineRule="auto"/>
        <w:rPr>
          <w:rFonts w:hint="eastAsia" w:ascii="宋体" w:hAnsi="宋体"/>
          <w:sz w:val="24"/>
        </w:rPr>
      </w:pPr>
    </w:p>
    <w:p w14:paraId="6371ECE1">
      <w:pPr>
        <w:adjustRightInd w:val="0"/>
        <w:snapToGrid w:val="0"/>
        <w:spacing w:line="300" w:lineRule="auto"/>
        <w:ind w:firstLine="480" w:firstLineChars="200"/>
        <w:rPr>
          <w:rFonts w:hint="eastAsia" w:ascii="宋体" w:hAnsi="宋体"/>
          <w:sz w:val="24"/>
        </w:rPr>
      </w:pPr>
      <w:r>
        <w:rPr>
          <w:rFonts w:hint="eastAsia" w:ascii="宋体" w:hAnsi="宋体"/>
          <w:sz w:val="24"/>
        </w:rPr>
        <w:t>特此声明。</w:t>
      </w:r>
    </w:p>
    <w:p w14:paraId="24BF4132">
      <w:pPr>
        <w:adjustRightInd w:val="0"/>
        <w:snapToGrid w:val="0"/>
        <w:spacing w:line="300" w:lineRule="auto"/>
        <w:ind w:firstLine="3600" w:firstLineChars="1500"/>
        <w:rPr>
          <w:rFonts w:hint="eastAsia" w:ascii="宋体" w:hAnsi="宋体"/>
          <w:sz w:val="24"/>
        </w:rPr>
      </w:pPr>
      <w:r>
        <w:rPr>
          <w:rFonts w:hint="eastAsia" w:ascii="宋体" w:hAnsi="宋体"/>
          <w:sz w:val="24"/>
        </w:rPr>
        <w:t>法定代表人或被授权人签字：</w:t>
      </w:r>
    </w:p>
    <w:p w14:paraId="535CC49A">
      <w:pPr>
        <w:adjustRightInd w:val="0"/>
        <w:snapToGrid w:val="0"/>
        <w:spacing w:line="300" w:lineRule="auto"/>
        <w:ind w:firstLine="3600" w:firstLineChars="1500"/>
        <w:rPr>
          <w:rFonts w:hint="eastAsia" w:ascii="宋体" w:hAnsi="宋体"/>
          <w:sz w:val="24"/>
        </w:rPr>
      </w:pPr>
    </w:p>
    <w:p w14:paraId="4B643A94">
      <w:pPr>
        <w:adjustRightInd w:val="0"/>
        <w:snapToGrid w:val="0"/>
        <w:spacing w:line="300" w:lineRule="auto"/>
        <w:ind w:firstLine="3600" w:firstLineChars="1500"/>
        <w:rPr>
          <w:rFonts w:hint="eastAsia" w:ascii="宋体" w:hAnsi="宋体"/>
          <w:sz w:val="24"/>
        </w:rPr>
      </w:pPr>
      <w:r>
        <w:rPr>
          <w:rFonts w:hint="eastAsia" w:ascii="宋体" w:hAnsi="宋体"/>
          <w:sz w:val="24"/>
        </w:rPr>
        <w:t>投标人公章：</w:t>
      </w:r>
    </w:p>
    <w:p w14:paraId="4F4CD614">
      <w:pPr>
        <w:adjustRightInd w:val="0"/>
        <w:snapToGrid w:val="0"/>
        <w:spacing w:line="300" w:lineRule="auto"/>
        <w:ind w:firstLine="3600" w:firstLineChars="1500"/>
        <w:rPr>
          <w:rFonts w:hint="eastAsia" w:ascii="宋体" w:hAnsi="宋体"/>
          <w:sz w:val="24"/>
        </w:rPr>
      </w:pPr>
    </w:p>
    <w:p w14:paraId="126BDA64">
      <w:pPr>
        <w:pStyle w:val="3"/>
        <w:keepNext w:val="0"/>
        <w:keepLines w:val="0"/>
        <w:adjustRightInd w:val="0"/>
        <w:snapToGrid w:val="0"/>
        <w:spacing w:before="0" w:after="0" w:line="300" w:lineRule="auto"/>
        <w:ind w:firstLine="3542" w:firstLineChars="1470"/>
        <w:jc w:val="both"/>
        <w:rPr>
          <w:rFonts w:hint="eastAsia" w:ascii="宋体" w:hAnsi="宋体"/>
          <w:sz w:val="24"/>
        </w:rPr>
      </w:pPr>
      <w:r>
        <w:rPr>
          <w:rFonts w:hint="eastAsia" w:ascii="宋体" w:hAnsi="宋体"/>
          <w:sz w:val="24"/>
        </w:rPr>
        <w:t>年    月    日</w:t>
      </w:r>
    </w:p>
    <w:p w14:paraId="6A1AE515">
      <w:pPr>
        <w:rPr>
          <w:rFonts w:hint="eastAsia" w:ascii="宋体" w:hAnsi="宋体"/>
          <w:sz w:val="24"/>
        </w:rPr>
      </w:pPr>
    </w:p>
    <w:p w14:paraId="6DA46B7C">
      <w:pPr>
        <w:rPr>
          <w:rFonts w:hint="eastAsia" w:ascii="宋体" w:hAnsi="宋体"/>
          <w:sz w:val="24"/>
        </w:rPr>
      </w:pPr>
    </w:p>
    <w:p w14:paraId="6A8F982D">
      <w:pPr>
        <w:rPr>
          <w:rFonts w:hint="eastAsia" w:ascii="宋体" w:hAnsi="宋体"/>
          <w:sz w:val="24"/>
        </w:rPr>
      </w:pPr>
    </w:p>
    <w:p w14:paraId="07E9838E">
      <w:pPr>
        <w:rPr>
          <w:rFonts w:hint="eastAsia" w:ascii="宋体" w:hAnsi="宋体"/>
          <w:sz w:val="24"/>
        </w:rPr>
      </w:pPr>
    </w:p>
    <w:p w14:paraId="0FA813C2">
      <w:pPr>
        <w:rPr>
          <w:rFonts w:hint="eastAsia" w:ascii="宋体" w:hAnsi="宋体"/>
          <w:sz w:val="24"/>
        </w:rPr>
      </w:pPr>
    </w:p>
    <w:p w14:paraId="08A64015">
      <w:pPr>
        <w:pStyle w:val="4"/>
        <w:rPr>
          <w:rFonts w:hint="eastAsia"/>
        </w:rPr>
      </w:pPr>
      <w:r>
        <w:rPr>
          <w:rFonts w:hint="eastAsia" w:cs="宋体"/>
          <w:b/>
          <w:bCs w:val="0"/>
          <w:sz w:val="24"/>
          <w:szCs w:val="24"/>
          <w:lang w:val="en-US" w:eastAsia="zh-CN"/>
        </w:rPr>
        <w:t>10</w:t>
      </w:r>
      <w:r>
        <w:rPr>
          <w:rFonts w:hint="eastAsia" w:ascii="宋体" w:hAnsi="宋体" w:eastAsia="宋体" w:cs="宋体"/>
          <w:b/>
          <w:bCs w:val="0"/>
          <w:sz w:val="24"/>
          <w:szCs w:val="24"/>
          <w:lang w:val="en-US" w:eastAsia="zh-CN"/>
        </w:rPr>
        <w:t>.</w:t>
      </w:r>
      <w:r>
        <w:rPr>
          <w:rFonts w:hint="eastAsia" w:ascii="宋体" w:hAnsi="宋体" w:eastAsia="宋体" w:cs="宋体"/>
          <w:b/>
          <w:bCs w:val="0"/>
          <w:sz w:val="24"/>
          <w:szCs w:val="24"/>
        </w:rPr>
        <w:t>投标人认为需要提供的用于参与评审的其他相关资料</w:t>
      </w:r>
    </w:p>
    <w:sectPr>
      <w:headerReference r:id="rId6" w:type="default"/>
      <w:footerReference r:id="rId7" w:type="default"/>
      <w:pgSz w:w="11906" w:h="16838"/>
      <w:pgMar w:top="1134" w:right="1247" w:bottom="1247" w:left="1134"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C29636-ED2B-444A-809F-DB58904E94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embedRegular r:id="rId2" w:fontKey="{73323865-264C-4907-B3A8-E3C1CAC6937A}"/>
  </w:font>
  <w:font w:name="仿宋">
    <w:panose1 w:val="02010609060101010101"/>
    <w:charset w:val="86"/>
    <w:family w:val="modern"/>
    <w:pitch w:val="default"/>
    <w:sig w:usb0="800002BF" w:usb1="38CF7CFA" w:usb2="00000016" w:usb3="00000000" w:csb0="00040001" w:csb1="00000000"/>
    <w:embedRegular r:id="rId3" w:fontKey="{8B2EE77E-0BDD-41A6-9671-1694BE57790D}"/>
  </w:font>
  <w:font w:name="新宋体">
    <w:panose1 w:val="02010609030101010101"/>
    <w:charset w:val="86"/>
    <w:family w:val="modern"/>
    <w:pitch w:val="default"/>
    <w:sig w:usb0="00000203" w:usb1="288F0000" w:usb2="00000006" w:usb3="00000000" w:csb0="00040001" w:csb1="00000000"/>
  </w:font>
  <w:font w:name="Noto Sans SC">
    <w:panose1 w:val="020B0200000000000000"/>
    <w:charset w:val="86"/>
    <w:family w:val="auto"/>
    <w:pitch w:val="default"/>
    <w:sig w:usb0="20000083" w:usb1="2ADF3C10" w:usb2="00000016" w:usb3="00000000" w:csb0="60060107" w:csb1="00000000"/>
  </w:font>
  <w:font w:name="方正仿宋_GB2312">
    <w:panose1 w:val="02000000000000000000"/>
    <w:charset w:val="86"/>
    <w:family w:val="auto"/>
    <w:pitch w:val="default"/>
    <w:sig w:usb0="A00002BF" w:usb1="184F6CFA" w:usb2="00000012" w:usb3="00000000" w:csb0="00040001" w:csb1="00000000"/>
    <w:embedRegular r:id="rId4" w:fontKey="{12BE4512-F13A-48DE-9CF5-F8636CA878E9}"/>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310D1">
    <w:pPr>
      <w:pStyle w:val="11"/>
      <w:tabs>
        <w:tab w:val="center" w:pos="4450"/>
        <w:tab w:val="clear" w:pos="4153"/>
      </w:tabs>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2EDDC6">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om0ozAgAAZA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jom0ozAgAAZAQAAA4AAAAAAAAAAQAgAAAAHwEAAGRycy9lMm9Eb2MueG1sUEsF&#10;BgAAAAAGAAYAWQEAAMQFAAAAAA==&#10;">
              <v:fill on="f" focussize="0,0"/>
              <v:stroke on="f" weight="0.5pt"/>
              <v:imagedata o:title=""/>
              <o:lock v:ext="edit" aspectratio="f"/>
              <v:textbox inset="0mm,0mm,0mm,0mm" style="mso-fit-shape-to-text:t;">
                <w:txbxContent>
                  <w:p w14:paraId="2F2EDDC6">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5A4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3374EF">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Y5dvEMQIAAGQEAAAOAAAAAAAAAAEAIAAAAB8BAABkcnMvZTJvRG9jLnhtbFBLBQYA&#10;AAAABgAGAFkBAADCBQAAAAA=&#10;">
              <v:fill on="f" focussize="0,0"/>
              <v:stroke on="f" weight="0.5pt"/>
              <v:imagedata o:title=""/>
              <o:lock v:ext="edit" aspectratio="f"/>
              <v:textbox inset="0mm,0mm,0mm,0mm" style="mso-fit-shape-to-text:t;">
                <w:txbxContent>
                  <w:p w14:paraId="153374EF">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3DC05">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15</w:t>
    </w:r>
    <w:r>
      <w:fldChar w:fldCharType="end"/>
    </w:r>
  </w:p>
  <w:p w14:paraId="454C395D">
    <w:pPr>
      <w:pStyle w:val="11"/>
      <w:wordWrap w:val="0"/>
      <w:jc w:val="right"/>
      <w:rPr>
        <w:rFonts w:hint="eastAsia" w:ascii="仿宋_GB2312" w:eastAsia="仿宋_GB2312"/>
        <w:sz w:val="32"/>
        <w:szCs w:val="3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3C63D">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65D2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9B06D"/>
    <w:multiLevelType w:val="singleLevel"/>
    <w:tmpl w:val="9EB9B06D"/>
    <w:lvl w:ilvl="0" w:tentative="0">
      <w:start w:val="1"/>
      <w:numFmt w:val="decimal"/>
      <w:lvlText w:val="%1."/>
      <w:lvlJc w:val="left"/>
      <w:pPr>
        <w:tabs>
          <w:tab w:val="left" w:pos="312"/>
        </w:tabs>
      </w:pPr>
    </w:lvl>
  </w:abstractNum>
  <w:abstractNum w:abstractNumId="1">
    <w:nsid w:val="5AAA6D8C"/>
    <w:multiLevelType w:val="multilevel"/>
    <w:tmpl w:val="5AAA6D8C"/>
    <w:lvl w:ilvl="0" w:tentative="0">
      <w:start w:val="1"/>
      <w:numFmt w:val="japaneseCounting"/>
      <w:pStyle w:val="51"/>
      <w:lvlText w:val="（%1）"/>
      <w:lvlJc w:val="left"/>
      <w:pPr>
        <w:tabs>
          <w:tab w:val="left" w:pos="1140"/>
        </w:tabs>
        <w:ind w:left="1140" w:hanging="7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32"/>
    <w:rsid w:val="00000B74"/>
    <w:rsid w:val="00000D99"/>
    <w:rsid w:val="000016B7"/>
    <w:rsid w:val="00001747"/>
    <w:rsid w:val="00001CB2"/>
    <w:rsid w:val="00002052"/>
    <w:rsid w:val="000027AB"/>
    <w:rsid w:val="00002FCF"/>
    <w:rsid w:val="000030FD"/>
    <w:rsid w:val="00004DD1"/>
    <w:rsid w:val="00004EEC"/>
    <w:rsid w:val="000050BB"/>
    <w:rsid w:val="000050BC"/>
    <w:rsid w:val="000062D0"/>
    <w:rsid w:val="00006505"/>
    <w:rsid w:val="00007515"/>
    <w:rsid w:val="000112E3"/>
    <w:rsid w:val="000113FE"/>
    <w:rsid w:val="00011D2F"/>
    <w:rsid w:val="00012836"/>
    <w:rsid w:val="00012974"/>
    <w:rsid w:val="00012E5B"/>
    <w:rsid w:val="000133B3"/>
    <w:rsid w:val="0001368D"/>
    <w:rsid w:val="0001396E"/>
    <w:rsid w:val="00013982"/>
    <w:rsid w:val="00013B01"/>
    <w:rsid w:val="00013C9B"/>
    <w:rsid w:val="00014147"/>
    <w:rsid w:val="00014D15"/>
    <w:rsid w:val="00014EF3"/>
    <w:rsid w:val="00015C7C"/>
    <w:rsid w:val="000162FC"/>
    <w:rsid w:val="00016AF4"/>
    <w:rsid w:val="00016D7B"/>
    <w:rsid w:val="000176DB"/>
    <w:rsid w:val="00017870"/>
    <w:rsid w:val="0001790A"/>
    <w:rsid w:val="00017C97"/>
    <w:rsid w:val="00017FA5"/>
    <w:rsid w:val="00020117"/>
    <w:rsid w:val="0002052B"/>
    <w:rsid w:val="000205DC"/>
    <w:rsid w:val="00020B63"/>
    <w:rsid w:val="00020BFC"/>
    <w:rsid w:val="00020C05"/>
    <w:rsid w:val="00020D23"/>
    <w:rsid w:val="00021C60"/>
    <w:rsid w:val="00021E2C"/>
    <w:rsid w:val="000223B4"/>
    <w:rsid w:val="00024B9A"/>
    <w:rsid w:val="00025CA0"/>
    <w:rsid w:val="000267F5"/>
    <w:rsid w:val="00026985"/>
    <w:rsid w:val="00027304"/>
    <w:rsid w:val="00027A44"/>
    <w:rsid w:val="00027DD7"/>
    <w:rsid w:val="00030372"/>
    <w:rsid w:val="000305C9"/>
    <w:rsid w:val="00031346"/>
    <w:rsid w:val="000317A0"/>
    <w:rsid w:val="00031C60"/>
    <w:rsid w:val="00032523"/>
    <w:rsid w:val="00033CD2"/>
    <w:rsid w:val="000344F2"/>
    <w:rsid w:val="0003487A"/>
    <w:rsid w:val="00035637"/>
    <w:rsid w:val="00035CD8"/>
    <w:rsid w:val="00036433"/>
    <w:rsid w:val="000364EC"/>
    <w:rsid w:val="00036799"/>
    <w:rsid w:val="00037439"/>
    <w:rsid w:val="000375E2"/>
    <w:rsid w:val="00040172"/>
    <w:rsid w:val="00040219"/>
    <w:rsid w:val="00040B74"/>
    <w:rsid w:val="000411F1"/>
    <w:rsid w:val="0004132F"/>
    <w:rsid w:val="0004180F"/>
    <w:rsid w:val="00041BA7"/>
    <w:rsid w:val="00041DDB"/>
    <w:rsid w:val="00042066"/>
    <w:rsid w:val="00042223"/>
    <w:rsid w:val="00045833"/>
    <w:rsid w:val="00045A07"/>
    <w:rsid w:val="00045BD6"/>
    <w:rsid w:val="0004648B"/>
    <w:rsid w:val="0004671B"/>
    <w:rsid w:val="00046A54"/>
    <w:rsid w:val="00047D62"/>
    <w:rsid w:val="0005058A"/>
    <w:rsid w:val="000506BB"/>
    <w:rsid w:val="00050AA1"/>
    <w:rsid w:val="0005112B"/>
    <w:rsid w:val="000520B4"/>
    <w:rsid w:val="0005231D"/>
    <w:rsid w:val="00052544"/>
    <w:rsid w:val="00053EDF"/>
    <w:rsid w:val="0005403D"/>
    <w:rsid w:val="000540BD"/>
    <w:rsid w:val="00054545"/>
    <w:rsid w:val="0005499B"/>
    <w:rsid w:val="00054EA2"/>
    <w:rsid w:val="0005508F"/>
    <w:rsid w:val="000551AA"/>
    <w:rsid w:val="00055EEE"/>
    <w:rsid w:val="00057242"/>
    <w:rsid w:val="000573B0"/>
    <w:rsid w:val="000576DB"/>
    <w:rsid w:val="00057877"/>
    <w:rsid w:val="000603AA"/>
    <w:rsid w:val="000603ED"/>
    <w:rsid w:val="000608E7"/>
    <w:rsid w:val="00060D55"/>
    <w:rsid w:val="00061038"/>
    <w:rsid w:val="0006122A"/>
    <w:rsid w:val="00061843"/>
    <w:rsid w:val="00061D68"/>
    <w:rsid w:val="00062161"/>
    <w:rsid w:val="00062D9E"/>
    <w:rsid w:val="00063811"/>
    <w:rsid w:val="0006430E"/>
    <w:rsid w:val="000644F9"/>
    <w:rsid w:val="00064565"/>
    <w:rsid w:val="00064E36"/>
    <w:rsid w:val="00065166"/>
    <w:rsid w:val="00065D53"/>
    <w:rsid w:val="00066408"/>
    <w:rsid w:val="00067048"/>
    <w:rsid w:val="00067A25"/>
    <w:rsid w:val="00067A97"/>
    <w:rsid w:val="00070041"/>
    <w:rsid w:val="00070C64"/>
    <w:rsid w:val="00071673"/>
    <w:rsid w:val="000719BC"/>
    <w:rsid w:val="00071D94"/>
    <w:rsid w:val="00073193"/>
    <w:rsid w:val="00073DB4"/>
    <w:rsid w:val="00074F92"/>
    <w:rsid w:val="00075C65"/>
    <w:rsid w:val="00075E33"/>
    <w:rsid w:val="0007691A"/>
    <w:rsid w:val="00076A0E"/>
    <w:rsid w:val="00077755"/>
    <w:rsid w:val="00081608"/>
    <w:rsid w:val="00081E71"/>
    <w:rsid w:val="0008251A"/>
    <w:rsid w:val="00082623"/>
    <w:rsid w:val="00082A99"/>
    <w:rsid w:val="00082D37"/>
    <w:rsid w:val="00083F5D"/>
    <w:rsid w:val="000843A4"/>
    <w:rsid w:val="000845B7"/>
    <w:rsid w:val="000848CC"/>
    <w:rsid w:val="000858DB"/>
    <w:rsid w:val="000869E0"/>
    <w:rsid w:val="00086A80"/>
    <w:rsid w:val="00086E8C"/>
    <w:rsid w:val="00087263"/>
    <w:rsid w:val="0009034D"/>
    <w:rsid w:val="0009091B"/>
    <w:rsid w:val="00090936"/>
    <w:rsid w:val="00091014"/>
    <w:rsid w:val="00091CC8"/>
    <w:rsid w:val="000923E2"/>
    <w:rsid w:val="00092701"/>
    <w:rsid w:val="0009283B"/>
    <w:rsid w:val="000932A3"/>
    <w:rsid w:val="00093EA8"/>
    <w:rsid w:val="00093F4B"/>
    <w:rsid w:val="000946DC"/>
    <w:rsid w:val="00094D7B"/>
    <w:rsid w:val="00094EBD"/>
    <w:rsid w:val="000955F5"/>
    <w:rsid w:val="00095C93"/>
    <w:rsid w:val="0009617B"/>
    <w:rsid w:val="000962A5"/>
    <w:rsid w:val="00097264"/>
    <w:rsid w:val="00097387"/>
    <w:rsid w:val="00097AA9"/>
    <w:rsid w:val="000A12B7"/>
    <w:rsid w:val="000A169F"/>
    <w:rsid w:val="000A1C1A"/>
    <w:rsid w:val="000A2222"/>
    <w:rsid w:val="000A245A"/>
    <w:rsid w:val="000A251E"/>
    <w:rsid w:val="000A42C2"/>
    <w:rsid w:val="000A4451"/>
    <w:rsid w:val="000A4817"/>
    <w:rsid w:val="000A4C67"/>
    <w:rsid w:val="000A4FDB"/>
    <w:rsid w:val="000A55FD"/>
    <w:rsid w:val="000A616A"/>
    <w:rsid w:val="000A6472"/>
    <w:rsid w:val="000A692F"/>
    <w:rsid w:val="000A77EB"/>
    <w:rsid w:val="000B0167"/>
    <w:rsid w:val="000B0253"/>
    <w:rsid w:val="000B05DE"/>
    <w:rsid w:val="000B1033"/>
    <w:rsid w:val="000B10A1"/>
    <w:rsid w:val="000B1A32"/>
    <w:rsid w:val="000B27AE"/>
    <w:rsid w:val="000B29F5"/>
    <w:rsid w:val="000B2AD4"/>
    <w:rsid w:val="000B2DC7"/>
    <w:rsid w:val="000B327A"/>
    <w:rsid w:val="000B3D5D"/>
    <w:rsid w:val="000B4B57"/>
    <w:rsid w:val="000B55D0"/>
    <w:rsid w:val="000B6090"/>
    <w:rsid w:val="000B6FC8"/>
    <w:rsid w:val="000B7099"/>
    <w:rsid w:val="000B75B1"/>
    <w:rsid w:val="000C176D"/>
    <w:rsid w:val="000C1A3C"/>
    <w:rsid w:val="000C1E43"/>
    <w:rsid w:val="000C23F7"/>
    <w:rsid w:val="000C25B4"/>
    <w:rsid w:val="000C2AD5"/>
    <w:rsid w:val="000C2AEE"/>
    <w:rsid w:val="000C2D63"/>
    <w:rsid w:val="000C2FCE"/>
    <w:rsid w:val="000C3222"/>
    <w:rsid w:val="000C33B1"/>
    <w:rsid w:val="000C378E"/>
    <w:rsid w:val="000C4830"/>
    <w:rsid w:val="000C4DDD"/>
    <w:rsid w:val="000C5729"/>
    <w:rsid w:val="000C5CD6"/>
    <w:rsid w:val="000C62B9"/>
    <w:rsid w:val="000C63FE"/>
    <w:rsid w:val="000C6BFE"/>
    <w:rsid w:val="000D0125"/>
    <w:rsid w:val="000D047B"/>
    <w:rsid w:val="000D201A"/>
    <w:rsid w:val="000D20D6"/>
    <w:rsid w:val="000D5792"/>
    <w:rsid w:val="000D5D55"/>
    <w:rsid w:val="000D6E9E"/>
    <w:rsid w:val="000D6EE8"/>
    <w:rsid w:val="000D6EFD"/>
    <w:rsid w:val="000E0183"/>
    <w:rsid w:val="000E13A1"/>
    <w:rsid w:val="000E2231"/>
    <w:rsid w:val="000E2355"/>
    <w:rsid w:val="000E2D2F"/>
    <w:rsid w:val="000E45DA"/>
    <w:rsid w:val="000E4C17"/>
    <w:rsid w:val="000E4D41"/>
    <w:rsid w:val="000E5097"/>
    <w:rsid w:val="000E51FA"/>
    <w:rsid w:val="000E59CE"/>
    <w:rsid w:val="000E5FEE"/>
    <w:rsid w:val="000E64D6"/>
    <w:rsid w:val="000E699F"/>
    <w:rsid w:val="000E6E4C"/>
    <w:rsid w:val="000E7275"/>
    <w:rsid w:val="000E781C"/>
    <w:rsid w:val="000E7E91"/>
    <w:rsid w:val="000F0145"/>
    <w:rsid w:val="000F168C"/>
    <w:rsid w:val="000F22F9"/>
    <w:rsid w:val="000F2532"/>
    <w:rsid w:val="000F27DB"/>
    <w:rsid w:val="000F2C31"/>
    <w:rsid w:val="000F3358"/>
    <w:rsid w:val="000F34C0"/>
    <w:rsid w:val="000F3A56"/>
    <w:rsid w:val="000F4265"/>
    <w:rsid w:val="000F48EB"/>
    <w:rsid w:val="000F4BB2"/>
    <w:rsid w:val="000F5E20"/>
    <w:rsid w:val="000F6D10"/>
    <w:rsid w:val="001017D7"/>
    <w:rsid w:val="00101BDC"/>
    <w:rsid w:val="00102FCE"/>
    <w:rsid w:val="0010476F"/>
    <w:rsid w:val="001048B9"/>
    <w:rsid w:val="00104B14"/>
    <w:rsid w:val="00104D21"/>
    <w:rsid w:val="001060FB"/>
    <w:rsid w:val="00110607"/>
    <w:rsid w:val="0011067F"/>
    <w:rsid w:val="001118B0"/>
    <w:rsid w:val="0011191A"/>
    <w:rsid w:val="001129B2"/>
    <w:rsid w:val="00113117"/>
    <w:rsid w:val="00113963"/>
    <w:rsid w:val="00113A83"/>
    <w:rsid w:val="00114BD9"/>
    <w:rsid w:val="00114E7D"/>
    <w:rsid w:val="0011512E"/>
    <w:rsid w:val="00117ACC"/>
    <w:rsid w:val="001202EE"/>
    <w:rsid w:val="00120AB9"/>
    <w:rsid w:val="001217A1"/>
    <w:rsid w:val="0012193F"/>
    <w:rsid w:val="00122275"/>
    <w:rsid w:val="00123007"/>
    <w:rsid w:val="001232C0"/>
    <w:rsid w:val="00124EE4"/>
    <w:rsid w:val="00125A14"/>
    <w:rsid w:val="00125AB5"/>
    <w:rsid w:val="00126178"/>
    <w:rsid w:val="00126DAC"/>
    <w:rsid w:val="00126DCE"/>
    <w:rsid w:val="0012706F"/>
    <w:rsid w:val="00127D0C"/>
    <w:rsid w:val="00130198"/>
    <w:rsid w:val="00130836"/>
    <w:rsid w:val="00131704"/>
    <w:rsid w:val="0013183A"/>
    <w:rsid w:val="00131B07"/>
    <w:rsid w:val="00131C6B"/>
    <w:rsid w:val="00131CD4"/>
    <w:rsid w:val="00132C7B"/>
    <w:rsid w:val="00132E99"/>
    <w:rsid w:val="00134255"/>
    <w:rsid w:val="00134591"/>
    <w:rsid w:val="00135366"/>
    <w:rsid w:val="00135AC3"/>
    <w:rsid w:val="00135E88"/>
    <w:rsid w:val="00136BF8"/>
    <w:rsid w:val="00137031"/>
    <w:rsid w:val="00140DF2"/>
    <w:rsid w:val="001413E1"/>
    <w:rsid w:val="00141DE6"/>
    <w:rsid w:val="00141EB7"/>
    <w:rsid w:val="00142487"/>
    <w:rsid w:val="00142574"/>
    <w:rsid w:val="00142C51"/>
    <w:rsid w:val="00142D5C"/>
    <w:rsid w:val="00142EE3"/>
    <w:rsid w:val="00142FFC"/>
    <w:rsid w:val="00144133"/>
    <w:rsid w:val="00144403"/>
    <w:rsid w:val="00144C59"/>
    <w:rsid w:val="00145361"/>
    <w:rsid w:val="00145FB2"/>
    <w:rsid w:val="0014638C"/>
    <w:rsid w:val="00146CEC"/>
    <w:rsid w:val="00147498"/>
    <w:rsid w:val="0014749E"/>
    <w:rsid w:val="0014799F"/>
    <w:rsid w:val="00147A8A"/>
    <w:rsid w:val="00147C17"/>
    <w:rsid w:val="00147C9E"/>
    <w:rsid w:val="0015002F"/>
    <w:rsid w:val="001503B1"/>
    <w:rsid w:val="001503DA"/>
    <w:rsid w:val="00150E59"/>
    <w:rsid w:val="0015156D"/>
    <w:rsid w:val="001515D3"/>
    <w:rsid w:val="00152417"/>
    <w:rsid w:val="001526F6"/>
    <w:rsid w:val="0015383D"/>
    <w:rsid w:val="00154363"/>
    <w:rsid w:val="0015594D"/>
    <w:rsid w:val="00156449"/>
    <w:rsid w:val="001569AB"/>
    <w:rsid w:val="00157125"/>
    <w:rsid w:val="0015748F"/>
    <w:rsid w:val="00157BBA"/>
    <w:rsid w:val="00157BDA"/>
    <w:rsid w:val="00157FBE"/>
    <w:rsid w:val="001600E8"/>
    <w:rsid w:val="0016094A"/>
    <w:rsid w:val="00160952"/>
    <w:rsid w:val="0016126B"/>
    <w:rsid w:val="00162705"/>
    <w:rsid w:val="00163757"/>
    <w:rsid w:val="00164763"/>
    <w:rsid w:val="00164A4D"/>
    <w:rsid w:val="00164D5E"/>
    <w:rsid w:val="0016567E"/>
    <w:rsid w:val="001657E0"/>
    <w:rsid w:val="0016631F"/>
    <w:rsid w:val="00167E0F"/>
    <w:rsid w:val="00171121"/>
    <w:rsid w:val="001712DC"/>
    <w:rsid w:val="001719BF"/>
    <w:rsid w:val="001722C3"/>
    <w:rsid w:val="001726A8"/>
    <w:rsid w:val="00174929"/>
    <w:rsid w:val="00176972"/>
    <w:rsid w:val="00176F66"/>
    <w:rsid w:val="00177B45"/>
    <w:rsid w:val="001806DE"/>
    <w:rsid w:val="00180AAE"/>
    <w:rsid w:val="00180D02"/>
    <w:rsid w:val="0018214C"/>
    <w:rsid w:val="001825A3"/>
    <w:rsid w:val="00182CFA"/>
    <w:rsid w:val="00183953"/>
    <w:rsid w:val="00184BF7"/>
    <w:rsid w:val="00185500"/>
    <w:rsid w:val="00185870"/>
    <w:rsid w:val="00185FA1"/>
    <w:rsid w:val="00185FE6"/>
    <w:rsid w:val="00186229"/>
    <w:rsid w:val="00186A32"/>
    <w:rsid w:val="00187333"/>
    <w:rsid w:val="00187957"/>
    <w:rsid w:val="00190601"/>
    <w:rsid w:val="00190F47"/>
    <w:rsid w:val="001925B3"/>
    <w:rsid w:val="001928B1"/>
    <w:rsid w:val="00192912"/>
    <w:rsid w:val="001938D5"/>
    <w:rsid w:val="00193CAB"/>
    <w:rsid w:val="001943F9"/>
    <w:rsid w:val="001948A9"/>
    <w:rsid w:val="00194BF8"/>
    <w:rsid w:val="00195440"/>
    <w:rsid w:val="00195A03"/>
    <w:rsid w:val="0019661F"/>
    <w:rsid w:val="0019668E"/>
    <w:rsid w:val="001968C6"/>
    <w:rsid w:val="001972D0"/>
    <w:rsid w:val="00197411"/>
    <w:rsid w:val="0019777A"/>
    <w:rsid w:val="00197B50"/>
    <w:rsid w:val="00197FE5"/>
    <w:rsid w:val="001A0E37"/>
    <w:rsid w:val="001A1587"/>
    <w:rsid w:val="001A15FF"/>
    <w:rsid w:val="001A29CF"/>
    <w:rsid w:val="001A2FC2"/>
    <w:rsid w:val="001A39D2"/>
    <w:rsid w:val="001A3F12"/>
    <w:rsid w:val="001A55FD"/>
    <w:rsid w:val="001A589F"/>
    <w:rsid w:val="001A5BA5"/>
    <w:rsid w:val="001A670A"/>
    <w:rsid w:val="001A6DD6"/>
    <w:rsid w:val="001A700D"/>
    <w:rsid w:val="001A7B2F"/>
    <w:rsid w:val="001B1163"/>
    <w:rsid w:val="001B1252"/>
    <w:rsid w:val="001B18A0"/>
    <w:rsid w:val="001B3A3F"/>
    <w:rsid w:val="001B44A7"/>
    <w:rsid w:val="001B512D"/>
    <w:rsid w:val="001B642C"/>
    <w:rsid w:val="001B6947"/>
    <w:rsid w:val="001B6D04"/>
    <w:rsid w:val="001B6EC1"/>
    <w:rsid w:val="001B707C"/>
    <w:rsid w:val="001B7374"/>
    <w:rsid w:val="001B7705"/>
    <w:rsid w:val="001B7E4D"/>
    <w:rsid w:val="001C02A2"/>
    <w:rsid w:val="001C0541"/>
    <w:rsid w:val="001C0588"/>
    <w:rsid w:val="001C0ADC"/>
    <w:rsid w:val="001C0B9E"/>
    <w:rsid w:val="001C110D"/>
    <w:rsid w:val="001C12F6"/>
    <w:rsid w:val="001C1721"/>
    <w:rsid w:val="001C2031"/>
    <w:rsid w:val="001C221A"/>
    <w:rsid w:val="001C2F77"/>
    <w:rsid w:val="001C321E"/>
    <w:rsid w:val="001C330E"/>
    <w:rsid w:val="001C33DA"/>
    <w:rsid w:val="001C4D0B"/>
    <w:rsid w:val="001C5057"/>
    <w:rsid w:val="001C5083"/>
    <w:rsid w:val="001C51BE"/>
    <w:rsid w:val="001C718C"/>
    <w:rsid w:val="001C741D"/>
    <w:rsid w:val="001C7A0B"/>
    <w:rsid w:val="001C7B2B"/>
    <w:rsid w:val="001D047F"/>
    <w:rsid w:val="001D084D"/>
    <w:rsid w:val="001D0D20"/>
    <w:rsid w:val="001D1206"/>
    <w:rsid w:val="001D1D71"/>
    <w:rsid w:val="001D2598"/>
    <w:rsid w:val="001D2C6B"/>
    <w:rsid w:val="001D2C6E"/>
    <w:rsid w:val="001D326B"/>
    <w:rsid w:val="001D330D"/>
    <w:rsid w:val="001D3FFB"/>
    <w:rsid w:val="001D48A7"/>
    <w:rsid w:val="001D4AEF"/>
    <w:rsid w:val="001D4DA8"/>
    <w:rsid w:val="001D4E88"/>
    <w:rsid w:val="001D52F7"/>
    <w:rsid w:val="001D55D1"/>
    <w:rsid w:val="001D5782"/>
    <w:rsid w:val="001D73E4"/>
    <w:rsid w:val="001D7906"/>
    <w:rsid w:val="001D7F8B"/>
    <w:rsid w:val="001E0965"/>
    <w:rsid w:val="001E11AD"/>
    <w:rsid w:val="001E1A83"/>
    <w:rsid w:val="001E2B53"/>
    <w:rsid w:val="001E2F3F"/>
    <w:rsid w:val="001E314B"/>
    <w:rsid w:val="001E338C"/>
    <w:rsid w:val="001E352D"/>
    <w:rsid w:val="001E3E4E"/>
    <w:rsid w:val="001E4167"/>
    <w:rsid w:val="001E5A02"/>
    <w:rsid w:val="001E5CFB"/>
    <w:rsid w:val="001E6AB1"/>
    <w:rsid w:val="001E6D79"/>
    <w:rsid w:val="001E7BF5"/>
    <w:rsid w:val="001F00F7"/>
    <w:rsid w:val="001F0184"/>
    <w:rsid w:val="001F024C"/>
    <w:rsid w:val="001F0390"/>
    <w:rsid w:val="001F05A5"/>
    <w:rsid w:val="001F128D"/>
    <w:rsid w:val="001F16DA"/>
    <w:rsid w:val="001F1F13"/>
    <w:rsid w:val="001F227E"/>
    <w:rsid w:val="001F2D09"/>
    <w:rsid w:val="001F33B2"/>
    <w:rsid w:val="001F405A"/>
    <w:rsid w:val="001F4FF7"/>
    <w:rsid w:val="001F5149"/>
    <w:rsid w:val="001F70D0"/>
    <w:rsid w:val="001F7DEB"/>
    <w:rsid w:val="00202059"/>
    <w:rsid w:val="00202223"/>
    <w:rsid w:val="002027BD"/>
    <w:rsid w:val="0020327E"/>
    <w:rsid w:val="002035FF"/>
    <w:rsid w:val="002036F0"/>
    <w:rsid w:val="00204150"/>
    <w:rsid w:val="00204571"/>
    <w:rsid w:val="002048F9"/>
    <w:rsid w:val="00204F7C"/>
    <w:rsid w:val="00205804"/>
    <w:rsid w:val="00207114"/>
    <w:rsid w:val="002073B8"/>
    <w:rsid w:val="00207551"/>
    <w:rsid w:val="0020790E"/>
    <w:rsid w:val="00207912"/>
    <w:rsid w:val="00210A66"/>
    <w:rsid w:val="00211646"/>
    <w:rsid w:val="0021183A"/>
    <w:rsid w:val="002124B3"/>
    <w:rsid w:val="00212B52"/>
    <w:rsid w:val="002131D6"/>
    <w:rsid w:val="00214512"/>
    <w:rsid w:val="002146FC"/>
    <w:rsid w:val="0021592B"/>
    <w:rsid w:val="002159E8"/>
    <w:rsid w:val="002166BF"/>
    <w:rsid w:val="00216D80"/>
    <w:rsid w:val="00216D93"/>
    <w:rsid w:val="002173C8"/>
    <w:rsid w:val="00217467"/>
    <w:rsid w:val="002176DB"/>
    <w:rsid w:val="00217763"/>
    <w:rsid w:val="00217A41"/>
    <w:rsid w:val="002204C8"/>
    <w:rsid w:val="00221C3F"/>
    <w:rsid w:val="002220F6"/>
    <w:rsid w:val="002225EC"/>
    <w:rsid w:val="00222C37"/>
    <w:rsid w:val="00223EEF"/>
    <w:rsid w:val="002243D4"/>
    <w:rsid w:val="00224AAF"/>
    <w:rsid w:val="002250F5"/>
    <w:rsid w:val="00225D9A"/>
    <w:rsid w:val="0022609D"/>
    <w:rsid w:val="002268A7"/>
    <w:rsid w:val="00227578"/>
    <w:rsid w:val="00227753"/>
    <w:rsid w:val="00230A96"/>
    <w:rsid w:val="0023180C"/>
    <w:rsid w:val="00232171"/>
    <w:rsid w:val="002332E6"/>
    <w:rsid w:val="002345FF"/>
    <w:rsid w:val="00234FE7"/>
    <w:rsid w:val="00235EFC"/>
    <w:rsid w:val="00236244"/>
    <w:rsid w:val="00236665"/>
    <w:rsid w:val="002371B2"/>
    <w:rsid w:val="0023780F"/>
    <w:rsid w:val="002379A4"/>
    <w:rsid w:val="0024012E"/>
    <w:rsid w:val="00240D7B"/>
    <w:rsid w:val="00240F1E"/>
    <w:rsid w:val="00240F8C"/>
    <w:rsid w:val="00241114"/>
    <w:rsid w:val="00241F2B"/>
    <w:rsid w:val="00243025"/>
    <w:rsid w:val="00243833"/>
    <w:rsid w:val="002439B5"/>
    <w:rsid w:val="002439CE"/>
    <w:rsid w:val="00243D21"/>
    <w:rsid w:val="00244D92"/>
    <w:rsid w:val="00244E07"/>
    <w:rsid w:val="00244EED"/>
    <w:rsid w:val="00245C56"/>
    <w:rsid w:val="00245E1D"/>
    <w:rsid w:val="00246795"/>
    <w:rsid w:val="002502AE"/>
    <w:rsid w:val="00250C15"/>
    <w:rsid w:val="00252128"/>
    <w:rsid w:val="00252ACE"/>
    <w:rsid w:val="002537A4"/>
    <w:rsid w:val="00254231"/>
    <w:rsid w:val="002577F7"/>
    <w:rsid w:val="00257BE1"/>
    <w:rsid w:val="00260D29"/>
    <w:rsid w:val="00261074"/>
    <w:rsid w:val="00261155"/>
    <w:rsid w:val="00261BEE"/>
    <w:rsid w:val="00261F99"/>
    <w:rsid w:val="002623C6"/>
    <w:rsid w:val="00262712"/>
    <w:rsid w:val="002639B8"/>
    <w:rsid w:val="00263CFA"/>
    <w:rsid w:val="00263FD9"/>
    <w:rsid w:val="00264401"/>
    <w:rsid w:val="002646F2"/>
    <w:rsid w:val="00264814"/>
    <w:rsid w:val="00264A72"/>
    <w:rsid w:val="00264B8A"/>
    <w:rsid w:val="00264CBD"/>
    <w:rsid w:val="0026594E"/>
    <w:rsid w:val="00266867"/>
    <w:rsid w:val="0026694F"/>
    <w:rsid w:val="002673B5"/>
    <w:rsid w:val="00267429"/>
    <w:rsid w:val="00270044"/>
    <w:rsid w:val="00270368"/>
    <w:rsid w:val="00270C4D"/>
    <w:rsid w:val="00271B9E"/>
    <w:rsid w:val="00271F0C"/>
    <w:rsid w:val="00272CB8"/>
    <w:rsid w:val="002730BC"/>
    <w:rsid w:val="0027334A"/>
    <w:rsid w:val="002733D0"/>
    <w:rsid w:val="00273B5D"/>
    <w:rsid w:val="00274166"/>
    <w:rsid w:val="002754CA"/>
    <w:rsid w:val="00275B58"/>
    <w:rsid w:val="00276149"/>
    <w:rsid w:val="0027698F"/>
    <w:rsid w:val="002772C3"/>
    <w:rsid w:val="00277830"/>
    <w:rsid w:val="002802A4"/>
    <w:rsid w:val="002804FE"/>
    <w:rsid w:val="00280F62"/>
    <w:rsid w:val="00282F38"/>
    <w:rsid w:val="0028408B"/>
    <w:rsid w:val="00284BD3"/>
    <w:rsid w:val="00284DA1"/>
    <w:rsid w:val="00284F34"/>
    <w:rsid w:val="00286087"/>
    <w:rsid w:val="00286609"/>
    <w:rsid w:val="00286744"/>
    <w:rsid w:val="0028741E"/>
    <w:rsid w:val="00290030"/>
    <w:rsid w:val="0029038D"/>
    <w:rsid w:val="00290889"/>
    <w:rsid w:val="00291F11"/>
    <w:rsid w:val="002920EA"/>
    <w:rsid w:val="00292384"/>
    <w:rsid w:val="00292D9F"/>
    <w:rsid w:val="00293226"/>
    <w:rsid w:val="002936DB"/>
    <w:rsid w:val="00294D99"/>
    <w:rsid w:val="00294E4B"/>
    <w:rsid w:val="00294F60"/>
    <w:rsid w:val="00294FB7"/>
    <w:rsid w:val="002959C7"/>
    <w:rsid w:val="00295C48"/>
    <w:rsid w:val="002963F6"/>
    <w:rsid w:val="00296C3E"/>
    <w:rsid w:val="00296DDB"/>
    <w:rsid w:val="00296E5E"/>
    <w:rsid w:val="00296F75"/>
    <w:rsid w:val="00297BAE"/>
    <w:rsid w:val="00297CA9"/>
    <w:rsid w:val="002A00E3"/>
    <w:rsid w:val="002A019C"/>
    <w:rsid w:val="002A0814"/>
    <w:rsid w:val="002A15FF"/>
    <w:rsid w:val="002A26CE"/>
    <w:rsid w:val="002A317C"/>
    <w:rsid w:val="002A384A"/>
    <w:rsid w:val="002A3B5F"/>
    <w:rsid w:val="002A3D80"/>
    <w:rsid w:val="002A4159"/>
    <w:rsid w:val="002A441E"/>
    <w:rsid w:val="002A4783"/>
    <w:rsid w:val="002A4A57"/>
    <w:rsid w:val="002A53DF"/>
    <w:rsid w:val="002A5B5D"/>
    <w:rsid w:val="002A5E85"/>
    <w:rsid w:val="002A635D"/>
    <w:rsid w:val="002A6AB5"/>
    <w:rsid w:val="002A6EA5"/>
    <w:rsid w:val="002A718A"/>
    <w:rsid w:val="002B112F"/>
    <w:rsid w:val="002B159C"/>
    <w:rsid w:val="002B24E2"/>
    <w:rsid w:val="002B3BF9"/>
    <w:rsid w:val="002B4D8C"/>
    <w:rsid w:val="002B565C"/>
    <w:rsid w:val="002B6282"/>
    <w:rsid w:val="002B642A"/>
    <w:rsid w:val="002B6777"/>
    <w:rsid w:val="002B6EE8"/>
    <w:rsid w:val="002B703D"/>
    <w:rsid w:val="002B7D49"/>
    <w:rsid w:val="002C0256"/>
    <w:rsid w:val="002C02AB"/>
    <w:rsid w:val="002C073E"/>
    <w:rsid w:val="002C0981"/>
    <w:rsid w:val="002C206C"/>
    <w:rsid w:val="002C214E"/>
    <w:rsid w:val="002C2A2E"/>
    <w:rsid w:val="002C2C27"/>
    <w:rsid w:val="002C385F"/>
    <w:rsid w:val="002C3C28"/>
    <w:rsid w:val="002C3F96"/>
    <w:rsid w:val="002C40C5"/>
    <w:rsid w:val="002C4D2B"/>
    <w:rsid w:val="002C5E21"/>
    <w:rsid w:val="002C6036"/>
    <w:rsid w:val="002C6062"/>
    <w:rsid w:val="002C6074"/>
    <w:rsid w:val="002C63D3"/>
    <w:rsid w:val="002C6BDE"/>
    <w:rsid w:val="002C6E0C"/>
    <w:rsid w:val="002D131B"/>
    <w:rsid w:val="002D1D65"/>
    <w:rsid w:val="002D1D8C"/>
    <w:rsid w:val="002D2211"/>
    <w:rsid w:val="002D28E5"/>
    <w:rsid w:val="002D2A9E"/>
    <w:rsid w:val="002D3C32"/>
    <w:rsid w:val="002D3EFB"/>
    <w:rsid w:val="002D5096"/>
    <w:rsid w:val="002D524A"/>
    <w:rsid w:val="002D59C5"/>
    <w:rsid w:val="002D59E2"/>
    <w:rsid w:val="002D6595"/>
    <w:rsid w:val="002D6B9F"/>
    <w:rsid w:val="002D6C04"/>
    <w:rsid w:val="002D7492"/>
    <w:rsid w:val="002D7612"/>
    <w:rsid w:val="002D7DA5"/>
    <w:rsid w:val="002E07C3"/>
    <w:rsid w:val="002E0B8E"/>
    <w:rsid w:val="002E1064"/>
    <w:rsid w:val="002E1C54"/>
    <w:rsid w:val="002E1DAD"/>
    <w:rsid w:val="002E2120"/>
    <w:rsid w:val="002E217B"/>
    <w:rsid w:val="002E2825"/>
    <w:rsid w:val="002E2A28"/>
    <w:rsid w:val="002E2F05"/>
    <w:rsid w:val="002E3475"/>
    <w:rsid w:val="002E3A0F"/>
    <w:rsid w:val="002E42A9"/>
    <w:rsid w:val="002E4D59"/>
    <w:rsid w:val="002E4E63"/>
    <w:rsid w:val="002E50E4"/>
    <w:rsid w:val="002E5174"/>
    <w:rsid w:val="002E6BA2"/>
    <w:rsid w:val="002E77F8"/>
    <w:rsid w:val="002E7D23"/>
    <w:rsid w:val="002E7F83"/>
    <w:rsid w:val="002F0618"/>
    <w:rsid w:val="002F091B"/>
    <w:rsid w:val="002F09BF"/>
    <w:rsid w:val="002F2B22"/>
    <w:rsid w:val="002F2D56"/>
    <w:rsid w:val="002F5529"/>
    <w:rsid w:val="002F5FF6"/>
    <w:rsid w:val="002F6AD8"/>
    <w:rsid w:val="002F6CC3"/>
    <w:rsid w:val="002F77B2"/>
    <w:rsid w:val="00300638"/>
    <w:rsid w:val="00300E46"/>
    <w:rsid w:val="003015BD"/>
    <w:rsid w:val="00301FD7"/>
    <w:rsid w:val="0030257A"/>
    <w:rsid w:val="003026E0"/>
    <w:rsid w:val="00302D52"/>
    <w:rsid w:val="00304BCD"/>
    <w:rsid w:val="00304D32"/>
    <w:rsid w:val="00304FA3"/>
    <w:rsid w:val="0030533E"/>
    <w:rsid w:val="00306310"/>
    <w:rsid w:val="00306BED"/>
    <w:rsid w:val="00306E11"/>
    <w:rsid w:val="0030719E"/>
    <w:rsid w:val="00307282"/>
    <w:rsid w:val="00307B58"/>
    <w:rsid w:val="0031009B"/>
    <w:rsid w:val="00310195"/>
    <w:rsid w:val="003119DF"/>
    <w:rsid w:val="003124B5"/>
    <w:rsid w:val="00313C2C"/>
    <w:rsid w:val="0031418C"/>
    <w:rsid w:val="00314BEA"/>
    <w:rsid w:val="0031522A"/>
    <w:rsid w:val="00315417"/>
    <w:rsid w:val="00315529"/>
    <w:rsid w:val="00316000"/>
    <w:rsid w:val="00316728"/>
    <w:rsid w:val="00316BF8"/>
    <w:rsid w:val="00316D71"/>
    <w:rsid w:val="0031718A"/>
    <w:rsid w:val="00320297"/>
    <w:rsid w:val="00320584"/>
    <w:rsid w:val="003211A5"/>
    <w:rsid w:val="003211E6"/>
    <w:rsid w:val="0032177A"/>
    <w:rsid w:val="00322AF9"/>
    <w:rsid w:val="00323A9F"/>
    <w:rsid w:val="00323B3F"/>
    <w:rsid w:val="00324B44"/>
    <w:rsid w:val="00324D0A"/>
    <w:rsid w:val="00325E9A"/>
    <w:rsid w:val="0032655E"/>
    <w:rsid w:val="00326F50"/>
    <w:rsid w:val="00327D54"/>
    <w:rsid w:val="00330150"/>
    <w:rsid w:val="003305E4"/>
    <w:rsid w:val="003306F9"/>
    <w:rsid w:val="003308FE"/>
    <w:rsid w:val="00330BD9"/>
    <w:rsid w:val="003320F3"/>
    <w:rsid w:val="003329B1"/>
    <w:rsid w:val="003347EF"/>
    <w:rsid w:val="0033488D"/>
    <w:rsid w:val="003351CF"/>
    <w:rsid w:val="00335C97"/>
    <w:rsid w:val="003407F3"/>
    <w:rsid w:val="00340B88"/>
    <w:rsid w:val="00340BFA"/>
    <w:rsid w:val="00341637"/>
    <w:rsid w:val="00341AE5"/>
    <w:rsid w:val="00341F15"/>
    <w:rsid w:val="00342247"/>
    <w:rsid w:val="00343447"/>
    <w:rsid w:val="00343760"/>
    <w:rsid w:val="003445B2"/>
    <w:rsid w:val="00345C43"/>
    <w:rsid w:val="00346C73"/>
    <w:rsid w:val="00347622"/>
    <w:rsid w:val="0035010C"/>
    <w:rsid w:val="00351AA8"/>
    <w:rsid w:val="00351C7C"/>
    <w:rsid w:val="0035248E"/>
    <w:rsid w:val="00353107"/>
    <w:rsid w:val="003537D7"/>
    <w:rsid w:val="00354E76"/>
    <w:rsid w:val="00355804"/>
    <w:rsid w:val="00355F6F"/>
    <w:rsid w:val="00356894"/>
    <w:rsid w:val="003569AA"/>
    <w:rsid w:val="00356A17"/>
    <w:rsid w:val="00357EE4"/>
    <w:rsid w:val="003603DA"/>
    <w:rsid w:val="00360DC0"/>
    <w:rsid w:val="00361A1C"/>
    <w:rsid w:val="00362D3C"/>
    <w:rsid w:val="0036404E"/>
    <w:rsid w:val="00364075"/>
    <w:rsid w:val="003642A9"/>
    <w:rsid w:val="0036455A"/>
    <w:rsid w:val="00364992"/>
    <w:rsid w:val="0036674B"/>
    <w:rsid w:val="00366D15"/>
    <w:rsid w:val="00367297"/>
    <w:rsid w:val="00367D7F"/>
    <w:rsid w:val="00370471"/>
    <w:rsid w:val="00371564"/>
    <w:rsid w:val="0037166D"/>
    <w:rsid w:val="00372B1D"/>
    <w:rsid w:val="003737DB"/>
    <w:rsid w:val="00375162"/>
    <w:rsid w:val="003755CB"/>
    <w:rsid w:val="00375955"/>
    <w:rsid w:val="0037598B"/>
    <w:rsid w:val="00375A04"/>
    <w:rsid w:val="00375A11"/>
    <w:rsid w:val="00375BB3"/>
    <w:rsid w:val="003760A0"/>
    <w:rsid w:val="0037690D"/>
    <w:rsid w:val="00377333"/>
    <w:rsid w:val="003779C6"/>
    <w:rsid w:val="00377CE5"/>
    <w:rsid w:val="00380E8F"/>
    <w:rsid w:val="0038165A"/>
    <w:rsid w:val="003822B0"/>
    <w:rsid w:val="00382721"/>
    <w:rsid w:val="003831E1"/>
    <w:rsid w:val="00383A2D"/>
    <w:rsid w:val="00383EEA"/>
    <w:rsid w:val="00385CA8"/>
    <w:rsid w:val="00385ED9"/>
    <w:rsid w:val="0038676A"/>
    <w:rsid w:val="003875C1"/>
    <w:rsid w:val="00387B84"/>
    <w:rsid w:val="00387F9D"/>
    <w:rsid w:val="0039023A"/>
    <w:rsid w:val="0039044A"/>
    <w:rsid w:val="003904E4"/>
    <w:rsid w:val="00391158"/>
    <w:rsid w:val="003915F0"/>
    <w:rsid w:val="00391A16"/>
    <w:rsid w:val="00391C60"/>
    <w:rsid w:val="00391F7D"/>
    <w:rsid w:val="00392D44"/>
    <w:rsid w:val="00394684"/>
    <w:rsid w:val="00394F49"/>
    <w:rsid w:val="00395C35"/>
    <w:rsid w:val="00396471"/>
    <w:rsid w:val="0039680D"/>
    <w:rsid w:val="00396CD1"/>
    <w:rsid w:val="00397AF4"/>
    <w:rsid w:val="003A0AFF"/>
    <w:rsid w:val="003A0EB7"/>
    <w:rsid w:val="003A15CC"/>
    <w:rsid w:val="003A25D0"/>
    <w:rsid w:val="003A4A35"/>
    <w:rsid w:val="003B0D6C"/>
    <w:rsid w:val="003B15AB"/>
    <w:rsid w:val="003B1E58"/>
    <w:rsid w:val="003B246A"/>
    <w:rsid w:val="003B29F7"/>
    <w:rsid w:val="003B2F94"/>
    <w:rsid w:val="003B3823"/>
    <w:rsid w:val="003B411D"/>
    <w:rsid w:val="003B49E4"/>
    <w:rsid w:val="003B4A80"/>
    <w:rsid w:val="003B4AB5"/>
    <w:rsid w:val="003B4D74"/>
    <w:rsid w:val="003B4DBA"/>
    <w:rsid w:val="003B5665"/>
    <w:rsid w:val="003B5A33"/>
    <w:rsid w:val="003B5C20"/>
    <w:rsid w:val="003B6365"/>
    <w:rsid w:val="003B6779"/>
    <w:rsid w:val="003B69EF"/>
    <w:rsid w:val="003B7075"/>
    <w:rsid w:val="003C01A3"/>
    <w:rsid w:val="003C1500"/>
    <w:rsid w:val="003C1D07"/>
    <w:rsid w:val="003C22B0"/>
    <w:rsid w:val="003C25E5"/>
    <w:rsid w:val="003C326B"/>
    <w:rsid w:val="003C3571"/>
    <w:rsid w:val="003C38EA"/>
    <w:rsid w:val="003C54F1"/>
    <w:rsid w:val="003C5F91"/>
    <w:rsid w:val="003C63B2"/>
    <w:rsid w:val="003C68CE"/>
    <w:rsid w:val="003C69AF"/>
    <w:rsid w:val="003C7068"/>
    <w:rsid w:val="003C7817"/>
    <w:rsid w:val="003C78C5"/>
    <w:rsid w:val="003D0D34"/>
    <w:rsid w:val="003D0E24"/>
    <w:rsid w:val="003D1A7E"/>
    <w:rsid w:val="003D344D"/>
    <w:rsid w:val="003D3B08"/>
    <w:rsid w:val="003D3B7F"/>
    <w:rsid w:val="003D4A4C"/>
    <w:rsid w:val="003D579D"/>
    <w:rsid w:val="003D59D3"/>
    <w:rsid w:val="003D5E2A"/>
    <w:rsid w:val="003D5FC7"/>
    <w:rsid w:val="003D604E"/>
    <w:rsid w:val="003D6A19"/>
    <w:rsid w:val="003D6AF0"/>
    <w:rsid w:val="003D7B6A"/>
    <w:rsid w:val="003E0A74"/>
    <w:rsid w:val="003E0B42"/>
    <w:rsid w:val="003E24D5"/>
    <w:rsid w:val="003E33EE"/>
    <w:rsid w:val="003E34A7"/>
    <w:rsid w:val="003E3B15"/>
    <w:rsid w:val="003E426F"/>
    <w:rsid w:val="003E4691"/>
    <w:rsid w:val="003E4E9C"/>
    <w:rsid w:val="003E58CC"/>
    <w:rsid w:val="003E6633"/>
    <w:rsid w:val="003E6C4C"/>
    <w:rsid w:val="003F0681"/>
    <w:rsid w:val="003F1876"/>
    <w:rsid w:val="003F1D8B"/>
    <w:rsid w:val="003F21AC"/>
    <w:rsid w:val="003F297E"/>
    <w:rsid w:val="003F2B71"/>
    <w:rsid w:val="003F37CB"/>
    <w:rsid w:val="003F3F64"/>
    <w:rsid w:val="003F52C6"/>
    <w:rsid w:val="003F54D3"/>
    <w:rsid w:val="003F5C56"/>
    <w:rsid w:val="003F6865"/>
    <w:rsid w:val="003F6F59"/>
    <w:rsid w:val="003F7272"/>
    <w:rsid w:val="003F7547"/>
    <w:rsid w:val="003F755F"/>
    <w:rsid w:val="003F75A9"/>
    <w:rsid w:val="003F7B1C"/>
    <w:rsid w:val="00400365"/>
    <w:rsid w:val="00400497"/>
    <w:rsid w:val="00400D9E"/>
    <w:rsid w:val="0040199D"/>
    <w:rsid w:val="00401E87"/>
    <w:rsid w:val="004024AE"/>
    <w:rsid w:val="004025F2"/>
    <w:rsid w:val="00402721"/>
    <w:rsid w:val="0040294B"/>
    <w:rsid w:val="00402AB6"/>
    <w:rsid w:val="00403C07"/>
    <w:rsid w:val="004042F7"/>
    <w:rsid w:val="004046BD"/>
    <w:rsid w:val="00404BE5"/>
    <w:rsid w:val="00404D50"/>
    <w:rsid w:val="00404EEB"/>
    <w:rsid w:val="00405307"/>
    <w:rsid w:val="00407401"/>
    <w:rsid w:val="00407530"/>
    <w:rsid w:val="0040789E"/>
    <w:rsid w:val="00407E9F"/>
    <w:rsid w:val="00407F13"/>
    <w:rsid w:val="0041189A"/>
    <w:rsid w:val="00411EA0"/>
    <w:rsid w:val="00412279"/>
    <w:rsid w:val="00412651"/>
    <w:rsid w:val="00412EEC"/>
    <w:rsid w:val="00412FDA"/>
    <w:rsid w:val="0041369B"/>
    <w:rsid w:val="004136F9"/>
    <w:rsid w:val="00413DDA"/>
    <w:rsid w:val="004144AF"/>
    <w:rsid w:val="00414982"/>
    <w:rsid w:val="00414C40"/>
    <w:rsid w:val="00414F47"/>
    <w:rsid w:val="0041591C"/>
    <w:rsid w:val="004171B9"/>
    <w:rsid w:val="0041728A"/>
    <w:rsid w:val="00420508"/>
    <w:rsid w:val="00420E22"/>
    <w:rsid w:val="00421191"/>
    <w:rsid w:val="00422470"/>
    <w:rsid w:val="00422981"/>
    <w:rsid w:val="00422B05"/>
    <w:rsid w:val="004231B0"/>
    <w:rsid w:val="00423E16"/>
    <w:rsid w:val="00423ED4"/>
    <w:rsid w:val="00424806"/>
    <w:rsid w:val="00425230"/>
    <w:rsid w:val="0042612D"/>
    <w:rsid w:val="004264B5"/>
    <w:rsid w:val="00426AB6"/>
    <w:rsid w:val="00430631"/>
    <w:rsid w:val="004309D1"/>
    <w:rsid w:val="00431541"/>
    <w:rsid w:val="00432F40"/>
    <w:rsid w:val="004330F5"/>
    <w:rsid w:val="00433811"/>
    <w:rsid w:val="004340BF"/>
    <w:rsid w:val="0043568E"/>
    <w:rsid w:val="0043665E"/>
    <w:rsid w:val="0043705E"/>
    <w:rsid w:val="004371F1"/>
    <w:rsid w:val="00437333"/>
    <w:rsid w:val="0043757B"/>
    <w:rsid w:val="00437644"/>
    <w:rsid w:val="00437858"/>
    <w:rsid w:val="0043785E"/>
    <w:rsid w:val="00437A71"/>
    <w:rsid w:val="00437AF2"/>
    <w:rsid w:val="004422BB"/>
    <w:rsid w:val="004425CB"/>
    <w:rsid w:val="00444495"/>
    <w:rsid w:val="00444747"/>
    <w:rsid w:val="004447FA"/>
    <w:rsid w:val="004448B5"/>
    <w:rsid w:val="00444A6D"/>
    <w:rsid w:val="00444F0C"/>
    <w:rsid w:val="004465E0"/>
    <w:rsid w:val="00446B59"/>
    <w:rsid w:val="004472F7"/>
    <w:rsid w:val="00447E4E"/>
    <w:rsid w:val="00451031"/>
    <w:rsid w:val="004511F3"/>
    <w:rsid w:val="004512F9"/>
    <w:rsid w:val="0045133D"/>
    <w:rsid w:val="004516C7"/>
    <w:rsid w:val="004518A8"/>
    <w:rsid w:val="00451FA3"/>
    <w:rsid w:val="00452B35"/>
    <w:rsid w:val="004532A5"/>
    <w:rsid w:val="004532C8"/>
    <w:rsid w:val="004534CD"/>
    <w:rsid w:val="00454635"/>
    <w:rsid w:val="00455F9B"/>
    <w:rsid w:val="00457B9D"/>
    <w:rsid w:val="0046021D"/>
    <w:rsid w:val="004602A5"/>
    <w:rsid w:val="00460C9B"/>
    <w:rsid w:val="00461784"/>
    <w:rsid w:val="00462855"/>
    <w:rsid w:val="0046295B"/>
    <w:rsid w:val="00462B62"/>
    <w:rsid w:val="00462C26"/>
    <w:rsid w:val="0046388E"/>
    <w:rsid w:val="00463D34"/>
    <w:rsid w:val="004641B2"/>
    <w:rsid w:val="00464840"/>
    <w:rsid w:val="00464B08"/>
    <w:rsid w:val="00464BEE"/>
    <w:rsid w:val="00464EA8"/>
    <w:rsid w:val="00465035"/>
    <w:rsid w:val="004654A4"/>
    <w:rsid w:val="00465EAC"/>
    <w:rsid w:val="0046702D"/>
    <w:rsid w:val="0046704D"/>
    <w:rsid w:val="004677D9"/>
    <w:rsid w:val="004701D6"/>
    <w:rsid w:val="004709CE"/>
    <w:rsid w:val="00470B05"/>
    <w:rsid w:val="00471DC1"/>
    <w:rsid w:val="0047224E"/>
    <w:rsid w:val="00472556"/>
    <w:rsid w:val="0047265D"/>
    <w:rsid w:val="00472A8E"/>
    <w:rsid w:val="00472F3F"/>
    <w:rsid w:val="00473C57"/>
    <w:rsid w:val="004743B6"/>
    <w:rsid w:val="00475699"/>
    <w:rsid w:val="0047590C"/>
    <w:rsid w:val="00475B9E"/>
    <w:rsid w:val="00476972"/>
    <w:rsid w:val="0047790B"/>
    <w:rsid w:val="004779DB"/>
    <w:rsid w:val="00477CC6"/>
    <w:rsid w:val="0048017F"/>
    <w:rsid w:val="00480405"/>
    <w:rsid w:val="00480421"/>
    <w:rsid w:val="00480EF2"/>
    <w:rsid w:val="0048140C"/>
    <w:rsid w:val="00481435"/>
    <w:rsid w:val="0048217B"/>
    <w:rsid w:val="00482566"/>
    <w:rsid w:val="004829A9"/>
    <w:rsid w:val="00482D16"/>
    <w:rsid w:val="0048360A"/>
    <w:rsid w:val="004836B7"/>
    <w:rsid w:val="004837C1"/>
    <w:rsid w:val="00484392"/>
    <w:rsid w:val="00484496"/>
    <w:rsid w:val="004849AB"/>
    <w:rsid w:val="00484B87"/>
    <w:rsid w:val="004850A5"/>
    <w:rsid w:val="00485272"/>
    <w:rsid w:val="00486183"/>
    <w:rsid w:val="00487361"/>
    <w:rsid w:val="00487387"/>
    <w:rsid w:val="00487787"/>
    <w:rsid w:val="00490276"/>
    <w:rsid w:val="00490557"/>
    <w:rsid w:val="00490E19"/>
    <w:rsid w:val="00491F8F"/>
    <w:rsid w:val="00492170"/>
    <w:rsid w:val="00493378"/>
    <w:rsid w:val="0049365C"/>
    <w:rsid w:val="00494775"/>
    <w:rsid w:val="004947F0"/>
    <w:rsid w:val="00494A9E"/>
    <w:rsid w:val="00495273"/>
    <w:rsid w:val="00495C48"/>
    <w:rsid w:val="00495F54"/>
    <w:rsid w:val="004961AA"/>
    <w:rsid w:val="004A0181"/>
    <w:rsid w:val="004A1554"/>
    <w:rsid w:val="004A24F3"/>
    <w:rsid w:val="004A312C"/>
    <w:rsid w:val="004A33C7"/>
    <w:rsid w:val="004A6CE7"/>
    <w:rsid w:val="004A6DA5"/>
    <w:rsid w:val="004A7E12"/>
    <w:rsid w:val="004B02D9"/>
    <w:rsid w:val="004B0583"/>
    <w:rsid w:val="004B133C"/>
    <w:rsid w:val="004B2138"/>
    <w:rsid w:val="004B3081"/>
    <w:rsid w:val="004B43B5"/>
    <w:rsid w:val="004B470A"/>
    <w:rsid w:val="004B4D0A"/>
    <w:rsid w:val="004B4E9D"/>
    <w:rsid w:val="004B4F05"/>
    <w:rsid w:val="004B5643"/>
    <w:rsid w:val="004B58E4"/>
    <w:rsid w:val="004B61CC"/>
    <w:rsid w:val="004B6F78"/>
    <w:rsid w:val="004B7648"/>
    <w:rsid w:val="004B7F5B"/>
    <w:rsid w:val="004C01BC"/>
    <w:rsid w:val="004C0EEB"/>
    <w:rsid w:val="004C1606"/>
    <w:rsid w:val="004C1CF8"/>
    <w:rsid w:val="004C231F"/>
    <w:rsid w:val="004C286E"/>
    <w:rsid w:val="004C2BC3"/>
    <w:rsid w:val="004C2F49"/>
    <w:rsid w:val="004C3F26"/>
    <w:rsid w:val="004C445F"/>
    <w:rsid w:val="004C4747"/>
    <w:rsid w:val="004C4D06"/>
    <w:rsid w:val="004C540D"/>
    <w:rsid w:val="004C5C5F"/>
    <w:rsid w:val="004C6749"/>
    <w:rsid w:val="004C6A57"/>
    <w:rsid w:val="004C6A66"/>
    <w:rsid w:val="004C6D3C"/>
    <w:rsid w:val="004C6F3D"/>
    <w:rsid w:val="004C7825"/>
    <w:rsid w:val="004C7F5F"/>
    <w:rsid w:val="004D014C"/>
    <w:rsid w:val="004D031E"/>
    <w:rsid w:val="004D0614"/>
    <w:rsid w:val="004D0736"/>
    <w:rsid w:val="004D0AE3"/>
    <w:rsid w:val="004D0CF9"/>
    <w:rsid w:val="004D1049"/>
    <w:rsid w:val="004D12B5"/>
    <w:rsid w:val="004D1A32"/>
    <w:rsid w:val="004D1DE0"/>
    <w:rsid w:val="004D1E88"/>
    <w:rsid w:val="004D24CD"/>
    <w:rsid w:val="004D2B3F"/>
    <w:rsid w:val="004D2BE9"/>
    <w:rsid w:val="004D4153"/>
    <w:rsid w:val="004D4C7A"/>
    <w:rsid w:val="004D503A"/>
    <w:rsid w:val="004D56AC"/>
    <w:rsid w:val="004D612F"/>
    <w:rsid w:val="004D68E7"/>
    <w:rsid w:val="004D71AB"/>
    <w:rsid w:val="004E0365"/>
    <w:rsid w:val="004E0AE6"/>
    <w:rsid w:val="004E0E0D"/>
    <w:rsid w:val="004E1097"/>
    <w:rsid w:val="004E1C2A"/>
    <w:rsid w:val="004E2330"/>
    <w:rsid w:val="004E2565"/>
    <w:rsid w:val="004E27A4"/>
    <w:rsid w:val="004E2DB9"/>
    <w:rsid w:val="004E2E17"/>
    <w:rsid w:val="004E2EFB"/>
    <w:rsid w:val="004E366A"/>
    <w:rsid w:val="004E3729"/>
    <w:rsid w:val="004E3DFD"/>
    <w:rsid w:val="004E421E"/>
    <w:rsid w:val="004E4309"/>
    <w:rsid w:val="004E4895"/>
    <w:rsid w:val="004E6185"/>
    <w:rsid w:val="004E704D"/>
    <w:rsid w:val="004E736F"/>
    <w:rsid w:val="004E7546"/>
    <w:rsid w:val="004E7CB6"/>
    <w:rsid w:val="004F02A5"/>
    <w:rsid w:val="004F1598"/>
    <w:rsid w:val="004F23D3"/>
    <w:rsid w:val="004F25F0"/>
    <w:rsid w:val="004F26D6"/>
    <w:rsid w:val="004F272A"/>
    <w:rsid w:val="004F291A"/>
    <w:rsid w:val="004F350D"/>
    <w:rsid w:val="004F3754"/>
    <w:rsid w:val="004F3955"/>
    <w:rsid w:val="004F3CDF"/>
    <w:rsid w:val="004F530D"/>
    <w:rsid w:val="004F5414"/>
    <w:rsid w:val="004F5722"/>
    <w:rsid w:val="004F59B6"/>
    <w:rsid w:val="004F5C30"/>
    <w:rsid w:val="004F5EBD"/>
    <w:rsid w:val="004F6E4B"/>
    <w:rsid w:val="004F7718"/>
    <w:rsid w:val="004F778D"/>
    <w:rsid w:val="00500224"/>
    <w:rsid w:val="00500956"/>
    <w:rsid w:val="00500B4D"/>
    <w:rsid w:val="0050129D"/>
    <w:rsid w:val="00501D0F"/>
    <w:rsid w:val="005020D2"/>
    <w:rsid w:val="0050287F"/>
    <w:rsid w:val="00502B79"/>
    <w:rsid w:val="00504852"/>
    <w:rsid w:val="00504AD1"/>
    <w:rsid w:val="00505699"/>
    <w:rsid w:val="00505F52"/>
    <w:rsid w:val="0050652C"/>
    <w:rsid w:val="0050683A"/>
    <w:rsid w:val="0050683B"/>
    <w:rsid w:val="00507A46"/>
    <w:rsid w:val="00510079"/>
    <w:rsid w:val="00510586"/>
    <w:rsid w:val="0051094B"/>
    <w:rsid w:val="005110DA"/>
    <w:rsid w:val="00511894"/>
    <w:rsid w:val="00511BC5"/>
    <w:rsid w:val="00511FDE"/>
    <w:rsid w:val="00512C10"/>
    <w:rsid w:val="00512F9F"/>
    <w:rsid w:val="00513332"/>
    <w:rsid w:val="00513530"/>
    <w:rsid w:val="005138FF"/>
    <w:rsid w:val="00514CD9"/>
    <w:rsid w:val="005170EE"/>
    <w:rsid w:val="00517152"/>
    <w:rsid w:val="005171ED"/>
    <w:rsid w:val="00517397"/>
    <w:rsid w:val="00520417"/>
    <w:rsid w:val="00520AF5"/>
    <w:rsid w:val="00520DCC"/>
    <w:rsid w:val="00521159"/>
    <w:rsid w:val="0052190D"/>
    <w:rsid w:val="00521B2C"/>
    <w:rsid w:val="005227EF"/>
    <w:rsid w:val="00522878"/>
    <w:rsid w:val="00522AB3"/>
    <w:rsid w:val="00522AE8"/>
    <w:rsid w:val="00523485"/>
    <w:rsid w:val="00523ADF"/>
    <w:rsid w:val="00523C1B"/>
    <w:rsid w:val="0052476A"/>
    <w:rsid w:val="00524F7C"/>
    <w:rsid w:val="00525195"/>
    <w:rsid w:val="00527DB7"/>
    <w:rsid w:val="0053110E"/>
    <w:rsid w:val="0053181C"/>
    <w:rsid w:val="00532CF4"/>
    <w:rsid w:val="00533055"/>
    <w:rsid w:val="00533233"/>
    <w:rsid w:val="005335B8"/>
    <w:rsid w:val="00533BB0"/>
    <w:rsid w:val="00533F38"/>
    <w:rsid w:val="00536268"/>
    <w:rsid w:val="00536831"/>
    <w:rsid w:val="005374E0"/>
    <w:rsid w:val="005375F5"/>
    <w:rsid w:val="00537E0D"/>
    <w:rsid w:val="00537F4F"/>
    <w:rsid w:val="00540251"/>
    <w:rsid w:val="00540730"/>
    <w:rsid w:val="00541FA1"/>
    <w:rsid w:val="00542B55"/>
    <w:rsid w:val="00542EFE"/>
    <w:rsid w:val="0054318D"/>
    <w:rsid w:val="00543B8C"/>
    <w:rsid w:val="00544597"/>
    <w:rsid w:val="0054616C"/>
    <w:rsid w:val="005463AB"/>
    <w:rsid w:val="00546610"/>
    <w:rsid w:val="00546D43"/>
    <w:rsid w:val="00547CDA"/>
    <w:rsid w:val="00547DA3"/>
    <w:rsid w:val="00550520"/>
    <w:rsid w:val="0055098A"/>
    <w:rsid w:val="00550B51"/>
    <w:rsid w:val="00550C35"/>
    <w:rsid w:val="00550D29"/>
    <w:rsid w:val="00551302"/>
    <w:rsid w:val="0055144E"/>
    <w:rsid w:val="005525F7"/>
    <w:rsid w:val="00553772"/>
    <w:rsid w:val="00555C21"/>
    <w:rsid w:val="005563FD"/>
    <w:rsid w:val="00557098"/>
    <w:rsid w:val="0055733C"/>
    <w:rsid w:val="00560083"/>
    <w:rsid w:val="005601BF"/>
    <w:rsid w:val="00560DF9"/>
    <w:rsid w:val="00561869"/>
    <w:rsid w:val="00561885"/>
    <w:rsid w:val="00561E9D"/>
    <w:rsid w:val="00562D3F"/>
    <w:rsid w:val="0056316A"/>
    <w:rsid w:val="005634A9"/>
    <w:rsid w:val="0056351B"/>
    <w:rsid w:val="00563917"/>
    <w:rsid w:val="00563CEC"/>
    <w:rsid w:val="00564340"/>
    <w:rsid w:val="005647E2"/>
    <w:rsid w:val="00564B03"/>
    <w:rsid w:val="00565AAD"/>
    <w:rsid w:val="00567098"/>
    <w:rsid w:val="005676A1"/>
    <w:rsid w:val="005705F9"/>
    <w:rsid w:val="00570796"/>
    <w:rsid w:val="00570A8B"/>
    <w:rsid w:val="00572122"/>
    <w:rsid w:val="0057269F"/>
    <w:rsid w:val="00572E2D"/>
    <w:rsid w:val="0057337B"/>
    <w:rsid w:val="00573DB3"/>
    <w:rsid w:val="00575008"/>
    <w:rsid w:val="00575117"/>
    <w:rsid w:val="005755D7"/>
    <w:rsid w:val="00575D29"/>
    <w:rsid w:val="005768AF"/>
    <w:rsid w:val="00576CA7"/>
    <w:rsid w:val="00577AB9"/>
    <w:rsid w:val="00581783"/>
    <w:rsid w:val="005818D7"/>
    <w:rsid w:val="00581BB1"/>
    <w:rsid w:val="00581C41"/>
    <w:rsid w:val="0058251A"/>
    <w:rsid w:val="0058294D"/>
    <w:rsid w:val="005832EF"/>
    <w:rsid w:val="005834B2"/>
    <w:rsid w:val="005837F8"/>
    <w:rsid w:val="005843E4"/>
    <w:rsid w:val="005847B7"/>
    <w:rsid w:val="00584845"/>
    <w:rsid w:val="00585500"/>
    <w:rsid w:val="005855C2"/>
    <w:rsid w:val="005857D3"/>
    <w:rsid w:val="00585885"/>
    <w:rsid w:val="0058593B"/>
    <w:rsid w:val="00585E8D"/>
    <w:rsid w:val="005869A4"/>
    <w:rsid w:val="00586C4A"/>
    <w:rsid w:val="00586DC8"/>
    <w:rsid w:val="00587075"/>
    <w:rsid w:val="00587751"/>
    <w:rsid w:val="0059006D"/>
    <w:rsid w:val="00590094"/>
    <w:rsid w:val="00590393"/>
    <w:rsid w:val="005920F0"/>
    <w:rsid w:val="0059234E"/>
    <w:rsid w:val="00592643"/>
    <w:rsid w:val="005931EA"/>
    <w:rsid w:val="00593B4A"/>
    <w:rsid w:val="00593E69"/>
    <w:rsid w:val="00593F61"/>
    <w:rsid w:val="00594543"/>
    <w:rsid w:val="005960A3"/>
    <w:rsid w:val="005961F6"/>
    <w:rsid w:val="00596BAC"/>
    <w:rsid w:val="00596D65"/>
    <w:rsid w:val="00597620"/>
    <w:rsid w:val="005977DF"/>
    <w:rsid w:val="005A0FC8"/>
    <w:rsid w:val="005A1AC2"/>
    <w:rsid w:val="005A1DA4"/>
    <w:rsid w:val="005A21C4"/>
    <w:rsid w:val="005A23E5"/>
    <w:rsid w:val="005A36BB"/>
    <w:rsid w:val="005A4CE8"/>
    <w:rsid w:val="005A4EC6"/>
    <w:rsid w:val="005A57AB"/>
    <w:rsid w:val="005A5A83"/>
    <w:rsid w:val="005A5B6E"/>
    <w:rsid w:val="005A659F"/>
    <w:rsid w:val="005A690B"/>
    <w:rsid w:val="005A6A37"/>
    <w:rsid w:val="005A6FC0"/>
    <w:rsid w:val="005A76E6"/>
    <w:rsid w:val="005A7B83"/>
    <w:rsid w:val="005B0228"/>
    <w:rsid w:val="005B0D8F"/>
    <w:rsid w:val="005B0F7A"/>
    <w:rsid w:val="005B1D19"/>
    <w:rsid w:val="005B1F9B"/>
    <w:rsid w:val="005B2901"/>
    <w:rsid w:val="005B3426"/>
    <w:rsid w:val="005B46CF"/>
    <w:rsid w:val="005B4FE0"/>
    <w:rsid w:val="005B5391"/>
    <w:rsid w:val="005B5544"/>
    <w:rsid w:val="005B5634"/>
    <w:rsid w:val="005B62F1"/>
    <w:rsid w:val="005B6595"/>
    <w:rsid w:val="005B696D"/>
    <w:rsid w:val="005B6FCD"/>
    <w:rsid w:val="005B7276"/>
    <w:rsid w:val="005B7913"/>
    <w:rsid w:val="005C0124"/>
    <w:rsid w:val="005C019A"/>
    <w:rsid w:val="005C0292"/>
    <w:rsid w:val="005C034C"/>
    <w:rsid w:val="005C046E"/>
    <w:rsid w:val="005C0A01"/>
    <w:rsid w:val="005C0D21"/>
    <w:rsid w:val="005C0DE1"/>
    <w:rsid w:val="005C10CE"/>
    <w:rsid w:val="005C25E5"/>
    <w:rsid w:val="005C2E71"/>
    <w:rsid w:val="005C3072"/>
    <w:rsid w:val="005C34ED"/>
    <w:rsid w:val="005C350B"/>
    <w:rsid w:val="005C386F"/>
    <w:rsid w:val="005C45A7"/>
    <w:rsid w:val="005C5887"/>
    <w:rsid w:val="005C6C57"/>
    <w:rsid w:val="005C6CB6"/>
    <w:rsid w:val="005C6D9A"/>
    <w:rsid w:val="005C705C"/>
    <w:rsid w:val="005C7380"/>
    <w:rsid w:val="005C754E"/>
    <w:rsid w:val="005D01C9"/>
    <w:rsid w:val="005D0619"/>
    <w:rsid w:val="005D08C2"/>
    <w:rsid w:val="005D0BBC"/>
    <w:rsid w:val="005D0E14"/>
    <w:rsid w:val="005D428A"/>
    <w:rsid w:val="005D430E"/>
    <w:rsid w:val="005D4A28"/>
    <w:rsid w:val="005D5066"/>
    <w:rsid w:val="005D5F10"/>
    <w:rsid w:val="005D6727"/>
    <w:rsid w:val="005D6E42"/>
    <w:rsid w:val="005D6FC6"/>
    <w:rsid w:val="005E0363"/>
    <w:rsid w:val="005E0BAD"/>
    <w:rsid w:val="005E0E48"/>
    <w:rsid w:val="005E18DA"/>
    <w:rsid w:val="005E1CDB"/>
    <w:rsid w:val="005E220E"/>
    <w:rsid w:val="005E3232"/>
    <w:rsid w:val="005E33AD"/>
    <w:rsid w:val="005E47DC"/>
    <w:rsid w:val="005E4F98"/>
    <w:rsid w:val="005E6C75"/>
    <w:rsid w:val="005E6C95"/>
    <w:rsid w:val="005E6DB1"/>
    <w:rsid w:val="005E6F2A"/>
    <w:rsid w:val="005E7132"/>
    <w:rsid w:val="005E74B0"/>
    <w:rsid w:val="005E7D99"/>
    <w:rsid w:val="005F1253"/>
    <w:rsid w:val="005F1409"/>
    <w:rsid w:val="005F1B03"/>
    <w:rsid w:val="005F1E3B"/>
    <w:rsid w:val="005F2E1E"/>
    <w:rsid w:val="005F3113"/>
    <w:rsid w:val="005F367A"/>
    <w:rsid w:val="005F3D3C"/>
    <w:rsid w:val="005F45D0"/>
    <w:rsid w:val="005F5916"/>
    <w:rsid w:val="005F5969"/>
    <w:rsid w:val="005F59D8"/>
    <w:rsid w:val="005F5A37"/>
    <w:rsid w:val="005F6E81"/>
    <w:rsid w:val="006001C2"/>
    <w:rsid w:val="00600DCA"/>
    <w:rsid w:val="0060137F"/>
    <w:rsid w:val="006016F3"/>
    <w:rsid w:val="006020BD"/>
    <w:rsid w:val="006020C9"/>
    <w:rsid w:val="00602468"/>
    <w:rsid w:val="0060345D"/>
    <w:rsid w:val="00603C92"/>
    <w:rsid w:val="00603DE0"/>
    <w:rsid w:val="00605268"/>
    <w:rsid w:val="0060675D"/>
    <w:rsid w:val="0060678D"/>
    <w:rsid w:val="00606904"/>
    <w:rsid w:val="006077DE"/>
    <w:rsid w:val="006103C2"/>
    <w:rsid w:val="006105AD"/>
    <w:rsid w:val="00610912"/>
    <w:rsid w:val="006109CE"/>
    <w:rsid w:val="006117F0"/>
    <w:rsid w:val="00611874"/>
    <w:rsid w:val="00611E0A"/>
    <w:rsid w:val="00611E44"/>
    <w:rsid w:val="00612E57"/>
    <w:rsid w:val="006135DC"/>
    <w:rsid w:val="00613BA6"/>
    <w:rsid w:val="00614618"/>
    <w:rsid w:val="00616431"/>
    <w:rsid w:val="00617736"/>
    <w:rsid w:val="00620B75"/>
    <w:rsid w:val="00621C95"/>
    <w:rsid w:val="00621CB1"/>
    <w:rsid w:val="006230CF"/>
    <w:rsid w:val="006230E1"/>
    <w:rsid w:val="006237AC"/>
    <w:rsid w:val="00623943"/>
    <w:rsid w:val="00623A02"/>
    <w:rsid w:val="00623E8C"/>
    <w:rsid w:val="00625021"/>
    <w:rsid w:val="0062507D"/>
    <w:rsid w:val="006255C5"/>
    <w:rsid w:val="00626DEE"/>
    <w:rsid w:val="00626F49"/>
    <w:rsid w:val="006276AE"/>
    <w:rsid w:val="00627881"/>
    <w:rsid w:val="00627B67"/>
    <w:rsid w:val="00627C58"/>
    <w:rsid w:val="00627D07"/>
    <w:rsid w:val="00627F75"/>
    <w:rsid w:val="00630032"/>
    <w:rsid w:val="006304E7"/>
    <w:rsid w:val="00630EFB"/>
    <w:rsid w:val="00631656"/>
    <w:rsid w:val="00631F53"/>
    <w:rsid w:val="00632082"/>
    <w:rsid w:val="00632C21"/>
    <w:rsid w:val="00633378"/>
    <w:rsid w:val="006334C3"/>
    <w:rsid w:val="00633A94"/>
    <w:rsid w:val="00633D4A"/>
    <w:rsid w:val="00633D5D"/>
    <w:rsid w:val="006342EC"/>
    <w:rsid w:val="0063436A"/>
    <w:rsid w:val="0063558A"/>
    <w:rsid w:val="00635DE4"/>
    <w:rsid w:val="00636A01"/>
    <w:rsid w:val="00637C9D"/>
    <w:rsid w:val="006403F5"/>
    <w:rsid w:val="00640652"/>
    <w:rsid w:val="00640A52"/>
    <w:rsid w:val="00641371"/>
    <w:rsid w:val="00641F27"/>
    <w:rsid w:val="0064238D"/>
    <w:rsid w:val="006426BF"/>
    <w:rsid w:val="00642FCA"/>
    <w:rsid w:val="0064350C"/>
    <w:rsid w:val="00643662"/>
    <w:rsid w:val="00643CC7"/>
    <w:rsid w:val="00643FD5"/>
    <w:rsid w:val="00644928"/>
    <w:rsid w:val="00644D19"/>
    <w:rsid w:val="00645353"/>
    <w:rsid w:val="0064563A"/>
    <w:rsid w:val="006456B5"/>
    <w:rsid w:val="00645CCF"/>
    <w:rsid w:val="006460AD"/>
    <w:rsid w:val="006466BD"/>
    <w:rsid w:val="00647105"/>
    <w:rsid w:val="00647356"/>
    <w:rsid w:val="006475EA"/>
    <w:rsid w:val="00647750"/>
    <w:rsid w:val="006477CD"/>
    <w:rsid w:val="006504BB"/>
    <w:rsid w:val="00650913"/>
    <w:rsid w:val="00650B2F"/>
    <w:rsid w:val="00650E20"/>
    <w:rsid w:val="00651362"/>
    <w:rsid w:val="006517DE"/>
    <w:rsid w:val="00651CA9"/>
    <w:rsid w:val="00651F61"/>
    <w:rsid w:val="0065287B"/>
    <w:rsid w:val="00652F19"/>
    <w:rsid w:val="00653131"/>
    <w:rsid w:val="006535FF"/>
    <w:rsid w:val="00653809"/>
    <w:rsid w:val="00653DFC"/>
    <w:rsid w:val="0065419C"/>
    <w:rsid w:val="00654484"/>
    <w:rsid w:val="00654577"/>
    <w:rsid w:val="006545F5"/>
    <w:rsid w:val="006546E4"/>
    <w:rsid w:val="0065558F"/>
    <w:rsid w:val="006564EF"/>
    <w:rsid w:val="00656DD9"/>
    <w:rsid w:val="00656FBC"/>
    <w:rsid w:val="00657FB7"/>
    <w:rsid w:val="00660053"/>
    <w:rsid w:val="006612F2"/>
    <w:rsid w:val="00661577"/>
    <w:rsid w:val="00662666"/>
    <w:rsid w:val="00664011"/>
    <w:rsid w:val="006645EF"/>
    <w:rsid w:val="00664FB0"/>
    <w:rsid w:val="00665133"/>
    <w:rsid w:val="00665C76"/>
    <w:rsid w:val="00665CC5"/>
    <w:rsid w:val="00665E2D"/>
    <w:rsid w:val="0066616B"/>
    <w:rsid w:val="00666805"/>
    <w:rsid w:val="00666E66"/>
    <w:rsid w:val="0066705D"/>
    <w:rsid w:val="00667337"/>
    <w:rsid w:val="00667650"/>
    <w:rsid w:val="006677DA"/>
    <w:rsid w:val="00667E18"/>
    <w:rsid w:val="0067082F"/>
    <w:rsid w:val="00671AA3"/>
    <w:rsid w:val="00671CB4"/>
    <w:rsid w:val="00671EE6"/>
    <w:rsid w:val="006720CB"/>
    <w:rsid w:val="006726AE"/>
    <w:rsid w:val="0067276C"/>
    <w:rsid w:val="00672D21"/>
    <w:rsid w:val="006730BF"/>
    <w:rsid w:val="00673252"/>
    <w:rsid w:val="006735F3"/>
    <w:rsid w:val="00673989"/>
    <w:rsid w:val="0067412A"/>
    <w:rsid w:val="00674254"/>
    <w:rsid w:val="00674F6C"/>
    <w:rsid w:val="006757D0"/>
    <w:rsid w:val="00675A84"/>
    <w:rsid w:val="00675C04"/>
    <w:rsid w:val="006766BD"/>
    <w:rsid w:val="00676861"/>
    <w:rsid w:val="00677389"/>
    <w:rsid w:val="0067784D"/>
    <w:rsid w:val="00677B30"/>
    <w:rsid w:val="00680B3E"/>
    <w:rsid w:val="00681165"/>
    <w:rsid w:val="006819A9"/>
    <w:rsid w:val="00681DE6"/>
    <w:rsid w:val="00682695"/>
    <w:rsid w:val="00682C1E"/>
    <w:rsid w:val="00683431"/>
    <w:rsid w:val="0068497D"/>
    <w:rsid w:val="00684D13"/>
    <w:rsid w:val="00685312"/>
    <w:rsid w:val="00686024"/>
    <w:rsid w:val="0068671F"/>
    <w:rsid w:val="006876BE"/>
    <w:rsid w:val="00687945"/>
    <w:rsid w:val="006911DF"/>
    <w:rsid w:val="00692160"/>
    <w:rsid w:val="00692345"/>
    <w:rsid w:val="00692367"/>
    <w:rsid w:val="00692768"/>
    <w:rsid w:val="00692B2D"/>
    <w:rsid w:val="00692B97"/>
    <w:rsid w:val="00692C84"/>
    <w:rsid w:val="006935B5"/>
    <w:rsid w:val="0069370D"/>
    <w:rsid w:val="0069371A"/>
    <w:rsid w:val="00693A83"/>
    <w:rsid w:val="00693EA5"/>
    <w:rsid w:val="006942B7"/>
    <w:rsid w:val="0069470A"/>
    <w:rsid w:val="00694F97"/>
    <w:rsid w:val="00695646"/>
    <w:rsid w:val="006958B0"/>
    <w:rsid w:val="00697399"/>
    <w:rsid w:val="006974C7"/>
    <w:rsid w:val="00697EEA"/>
    <w:rsid w:val="006A000B"/>
    <w:rsid w:val="006A049D"/>
    <w:rsid w:val="006A07A7"/>
    <w:rsid w:val="006A09F8"/>
    <w:rsid w:val="006A12BE"/>
    <w:rsid w:val="006A2664"/>
    <w:rsid w:val="006A2DDF"/>
    <w:rsid w:val="006A34C6"/>
    <w:rsid w:val="006A4B43"/>
    <w:rsid w:val="006A56C4"/>
    <w:rsid w:val="006A57CC"/>
    <w:rsid w:val="006A5B2F"/>
    <w:rsid w:val="006A6739"/>
    <w:rsid w:val="006A694D"/>
    <w:rsid w:val="006A7F3B"/>
    <w:rsid w:val="006B046F"/>
    <w:rsid w:val="006B0914"/>
    <w:rsid w:val="006B0ABE"/>
    <w:rsid w:val="006B14BC"/>
    <w:rsid w:val="006B1508"/>
    <w:rsid w:val="006B17B1"/>
    <w:rsid w:val="006B1F12"/>
    <w:rsid w:val="006B229D"/>
    <w:rsid w:val="006B349E"/>
    <w:rsid w:val="006B4E8C"/>
    <w:rsid w:val="006B5160"/>
    <w:rsid w:val="006B7085"/>
    <w:rsid w:val="006B7330"/>
    <w:rsid w:val="006B7A2D"/>
    <w:rsid w:val="006B7AB3"/>
    <w:rsid w:val="006B7CE4"/>
    <w:rsid w:val="006B7E50"/>
    <w:rsid w:val="006B7F51"/>
    <w:rsid w:val="006C1D84"/>
    <w:rsid w:val="006C272F"/>
    <w:rsid w:val="006C2A5E"/>
    <w:rsid w:val="006C2EF4"/>
    <w:rsid w:val="006C3045"/>
    <w:rsid w:val="006C50BA"/>
    <w:rsid w:val="006C513B"/>
    <w:rsid w:val="006C5EB7"/>
    <w:rsid w:val="006C6352"/>
    <w:rsid w:val="006C674F"/>
    <w:rsid w:val="006C68F8"/>
    <w:rsid w:val="006C73CD"/>
    <w:rsid w:val="006D0517"/>
    <w:rsid w:val="006D1781"/>
    <w:rsid w:val="006D190F"/>
    <w:rsid w:val="006D21A9"/>
    <w:rsid w:val="006D2341"/>
    <w:rsid w:val="006D35C4"/>
    <w:rsid w:val="006D3BC6"/>
    <w:rsid w:val="006D4817"/>
    <w:rsid w:val="006D525F"/>
    <w:rsid w:val="006D6395"/>
    <w:rsid w:val="006D6499"/>
    <w:rsid w:val="006D7E50"/>
    <w:rsid w:val="006E09B4"/>
    <w:rsid w:val="006E2161"/>
    <w:rsid w:val="006E2589"/>
    <w:rsid w:val="006E2876"/>
    <w:rsid w:val="006E415B"/>
    <w:rsid w:val="006E4C38"/>
    <w:rsid w:val="006E5146"/>
    <w:rsid w:val="006E51BE"/>
    <w:rsid w:val="006E6100"/>
    <w:rsid w:val="006E666C"/>
    <w:rsid w:val="006E6CDC"/>
    <w:rsid w:val="006E7346"/>
    <w:rsid w:val="006E7588"/>
    <w:rsid w:val="006E7A33"/>
    <w:rsid w:val="006E7D74"/>
    <w:rsid w:val="006F0076"/>
    <w:rsid w:val="006F0D22"/>
    <w:rsid w:val="006F0E4C"/>
    <w:rsid w:val="006F195B"/>
    <w:rsid w:val="006F1D04"/>
    <w:rsid w:val="006F2549"/>
    <w:rsid w:val="006F2933"/>
    <w:rsid w:val="006F3139"/>
    <w:rsid w:val="006F4529"/>
    <w:rsid w:val="006F4B12"/>
    <w:rsid w:val="006F5197"/>
    <w:rsid w:val="006F6320"/>
    <w:rsid w:val="006F7E06"/>
    <w:rsid w:val="0070057C"/>
    <w:rsid w:val="007006D2"/>
    <w:rsid w:val="00700C14"/>
    <w:rsid w:val="00700CB1"/>
    <w:rsid w:val="00700DDF"/>
    <w:rsid w:val="00701361"/>
    <w:rsid w:val="00701D97"/>
    <w:rsid w:val="00702349"/>
    <w:rsid w:val="007026AC"/>
    <w:rsid w:val="007027E1"/>
    <w:rsid w:val="007031D6"/>
    <w:rsid w:val="0070399B"/>
    <w:rsid w:val="00703F48"/>
    <w:rsid w:val="007050A0"/>
    <w:rsid w:val="0070524D"/>
    <w:rsid w:val="007053A5"/>
    <w:rsid w:val="00705DFD"/>
    <w:rsid w:val="00706D46"/>
    <w:rsid w:val="00706EBE"/>
    <w:rsid w:val="00707569"/>
    <w:rsid w:val="00707830"/>
    <w:rsid w:val="0070787B"/>
    <w:rsid w:val="00707BE0"/>
    <w:rsid w:val="00707FD8"/>
    <w:rsid w:val="00711396"/>
    <w:rsid w:val="0071146B"/>
    <w:rsid w:val="00712025"/>
    <w:rsid w:val="007122E3"/>
    <w:rsid w:val="00712744"/>
    <w:rsid w:val="00712DC5"/>
    <w:rsid w:val="00712E1D"/>
    <w:rsid w:val="00713175"/>
    <w:rsid w:val="0071320B"/>
    <w:rsid w:val="00713223"/>
    <w:rsid w:val="007135E1"/>
    <w:rsid w:val="00713D64"/>
    <w:rsid w:val="00713D9E"/>
    <w:rsid w:val="00714A7D"/>
    <w:rsid w:val="00714FB3"/>
    <w:rsid w:val="00715922"/>
    <w:rsid w:val="00715D35"/>
    <w:rsid w:val="0071607F"/>
    <w:rsid w:val="007160BD"/>
    <w:rsid w:val="00716906"/>
    <w:rsid w:val="00716F8E"/>
    <w:rsid w:val="00717150"/>
    <w:rsid w:val="00717420"/>
    <w:rsid w:val="00720531"/>
    <w:rsid w:val="00720BBA"/>
    <w:rsid w:val="00720DE9"/>
    <w:rsid w:val="00720F7E"/>
    <w:rsid w:val="00721446"/>
    <w:rsid w:val="00721BBA"/>
    <w:rsid w:val="00722C73"/>
    <w:rsid w:val="007231B7"/>
    <w:rsid w:val="007235D5"/>
    <w:rsid w:val="00723F9A"/>
    <w:rsid w:val="007257BC"/>
    <w:rsid w:val="007264A2"/>
    <w:rsid w:val="00726B65"/>
    <w:rsid w:val="00726ECF"/>
    <w:rsid w:val="00730027"/>
    <w:rsid w:val="007309DA"/>
    <w:rsid w:val="00730AE5"/>
    <w:rsid w:val="007319FE"/>
    <w:rsid w:val="00732693"/>
    <w:rsid w:val="00733687"/>
    <w:rsid w:val="0073388F"/>
    <w:rsid w:val="00733D7F"/>
    <w:rsid w:val="00734050"/>
    <w:rsid w:val="00734080"/>
    <w:rsid w:val="007349F0"/>
    <w:rsid w:val="007349FB"/>
    <w:rsid w:val="00734D87"/>
    <w:rsid w:val="00734FC0"/>
    <w:rsid w:val="0073530A"/>
    <w:rsid w:val="007353A1"/>
    <w:rsid w:val="007354DA"/>
    <w:rsid w:val="00735F20"/>
    <w:rsid w:val="007367A6"/>
    <w:rsid w:val="00736870"/>
    <w:rsid w:val="007371BE"/>
    <w:rsid w:val="00737B04"/>
    <w:rsid w:val="00737EEB"/>
    <w:rsid w:val="007402C4"/>
    <w:rsid w:val="007404D4"/>
    <w:rsid w:val="00740FDB"/>
    <w:rsid w:val="0074129A"/>
    <w:rsid w:val="007424CD"/>
    <w:rsid w:val="00742E2F"/>
    <w:rsid w:val="00742F79"/>
    <w:rsid w:val="00744356"/>
    <w:rsid w:val="00745BF9"/>
    <w:rsid w:val="00745DCE"/>
    <w:rsid w:val="007464D1"/>
    <w:rsid w:val="00746D32"/>
    <w:rsid w:val="00746EEC"/>
    <w:rsid w:val="00747A00"/>
    <w:rsid w:val="00750B52"/>
    <w:rsid w:val="00751235"/>
    <w:rsid w:val="007512E3"/>
    <w:rsid w:val="00751B24"/>
    <w:rsid w:val="00751EEE"/>
    <w:rsid w:val="00752ADA"/>
    <w:rsid w:val="00752D83"/>
    <w:rsid w:val="00752E66"/>
    <w:rsid w:val="007538F7"/>
    <w:rsid w:val="007543FA"/>
    <w:rsid w:val="00754EA0"/>
    <w:rsid w:val="00755606"/>
    <w:rsid w:val="00756040"/>
    <w:rsid w:val="0075636A"/>
    <w:rsid w:val="00756923"/>
    <w:rsid w:val="00756B93"/>
    <w:rsid w:val="00756FEF"/>
    <w:rsid w:val="00757404"/>
    <w:rsid w:val="00757570"/>
    <w:rsid w:val="00757E02"/>
    <w:rsid w:val="00760087"/>
    <w:rsid w:val="00760152"/>
    <w:rsid w:val="00762078"/>
    <w:rsid w:val="007620C3"/>
    <w:rsid w:val="007622D8"/>
    <w:rsid w:val="007627E9"/>
    <w:rsid w:val="00762C73"/>
    <w:rsid w:val="00764150"/>
    <w:rsid w:val="0076427E"/>
    <w:rsid w:val="0076433E"/>
    <w:rsid w:val="00764355"/>
    <w:rsid w:val="00764411"/>
    <w:rsid w:val="00764FA2"/>
    <w:rsid w:val="00765934"/>
    <w:rsid w:val="00765C40"/>
    <w:rsid w:val="00767192"/>
    <w:rsid w:val="00767454"/>
    <w:rsid w:val="00767C7B"/>
    <w:rsid w:val="00767CEE"/>
    <w:rsid w:val="00770C61"/>
    <w:rsid w:val="00770D25"/>
    <w:rsid w:val="007712A9"/>
    <w:rsid w:val="007712E4"/>
    <w:rsid w:val="00771746"/>
    <w:rsid w:val="0077176A"/>
    <w:rsid w:val="00772158"/>
    <w:rsid w:val="007724BF"/>
    <w:rsid w:val="0077285B"/>
    <w:rsid w:val="0077290B"/>
    <w:rsid w:val="00772E03"/>
    <w:rsid w:val="00772FAA"/>
    <w:rsid w:val="00773FA9"/>
    <w:rsid w:val="00774CFA"/>
    <w:rsid w:val="007757E1"/>
    <w:rsid w:val="00775FAE"/>
    <w:rsid w:val="007762EF"/>
    <w:rsid w:val="007767C8"/>
    <w:rsid w:val="00777F52"/>
    <w:rsid w:val="007814AF"/>
    <w:rsid w:val="00781C87"/>
    <w:rsid w:val="00782494"/>
    <w:rsid w:val="00783D2A"/>
    <w:rsid w:val="00785219"/>
    <w:rsid w:val="00785FB2"/>
    <w:rsid w:val="0078608C"/>
    <w:rsid w:val="0078608E"/>
    <w:rsid w:val="00786FC5"/>
    <w:rsid w:val="007878C2"/>
    <w:rsid w:val="00787912"/>
    <w:rsid w:val="007906A2"/>
    <w:rsid w:val="007916A7"/>
    <w:rsid w:val="00793A52"/>
    <w:rsid w:val="00793ADE"/>
    <w:rsid w:val="00793E67"/>
    <w:rsid w:val="0079595C"/>
    <w:rsid w:val="00795ABD"/>
    <w:rsid w:val="00796204"/>
    <w:rsid w:val="00796D6B"/>
    <w:rsid w:val="007A044D"/>
    <w:rsid w:val="007A06EE"/>
    <w:rsid w:val="007A0842"/>
    <w:rsid w:val="007A0FC3"/>
    <w:rsid w:val="007A11F3"/>
    <w:rsid w:val="007A139B"/>
    <w:rsid w:val="007A1F7C"/>
    <w:rsid w:val="007A298F"/>
    <w:rsid w:val="007A2CD0"/>
    <w:rsid w:val="007A2F1F"/>
    <w:rsid w:val="007A301E"/>
    <w:rsid w:val="007A3317"/>
    <w:rsid w:val="007A35E7"/>
    <w:rsid w:val="007A3C1E"/>
    <w:rsid w:val="007A41E1"/>
    <w:rsid w:val="007A422A"/>
    <w:rsid w:val="007A4348"/>
    <w:rsid w:val="007A4633"/>
    <w:rsid w:val="007A4DDB"/>
    <w:rsid w:val="007A526E"/>
    <w:rsid w:val="007A6748"/>
    <w:rsid w:val="007A6EE3"/>
    <w:rsid w:val="007A7079"/>
    <w:rsid w:val="007A7D76"/>
    <w:rsid w:val="007B0EE6"/>
    <w:rsid w:val="007B0FF1"/>
    <w:rsid w:val="007B106B"/>
    <w:rsid w:val="007B1378"/>
    <w:rsid w:val="007B27E5"/>
    <w:rsid w:val="007B38A2"/>
    <w:rsid w:val="007B3E31"/>
    <w:rsid w:val="007B4259"/>
    <w:rsid w:val="007B432A"/>
    <w:rsid w:val="007B4F48"/>
    <w:rsid w:val="007B52F5"/>
    <w:rsid w:val="007B5EE6"/>
    <w:rsid w:val="007B77A2"/>
    <w:rsid w:val="007B77DD"/>
    <w:rsid w:val="007B7CB4"/>
    <w:rsid w:val="007C0431"/>
    <w:rsid w:val="007C1965"/>
    <w:rsid w:val="007C1A0B"/>
    <w:rsid w:val="007C21EE"/>
    <w:rsid w:val="007C3209"/>
    <w:rsid w:val="007C4283"/>
    <w:rsid w:val="007C4543"/>
    <w:rsid w:val="007C45F9"/>
    <w:rsid w:val="007C4794"/>
    <w:rsid w:val="007C4AD1"/>
    <w:rsid w:val="007C4F3F"/>
    <w:rsid w:val="007C51D4"/>
    <w:rsid w:val="007C616B"/>
    <w:rsid w:val="007D166D"/>
    <w:rsid w:val="007D248C"/>
    <w:rsid w:val="007D2982"/>
    <w:rsid w:val="007D3120"/>
    <w:rsid w:val="007D33D6"/>
    <w:rsid w:val="007D3445"/>
    <w:rsid w:val="007D4E1E"/>
    <w:rsid w:val="007D4E7C"/>
    <w:rsid w:val="007D6ED1"/>
    <w:rsid w:val="007D734B"/>
    <w:rsid w:val="007E050E"/>
    <w:rsid w:val="007E1140"/>
    <w:rsid w:val="007E1621"/>
    <w:rsid w:val="007E3010"/>
    <w:rsid w:val="007E31FE"/>
    <w:rsid w:val="007E3C3D"/>
    <w:rsid w:val="007E407B"/>
    <w:rsid w:val="007E5154"/>
    <w:rsid w:val="007E556D"/>
    <w:rsid w:val="007E6AAA"/>
    <w:rsid w:val="007E7136"/>
    <w:rsid w:val="007E71B2"/>
    <w:rsid w:val="007E753D"/>
    <w:rsid w:val="007E7A8A"/>
    <w:rsid w:val="007F01C0"/>
    <w:rsid w:val="007F0BA1"/>
    <w:rsid w:val="007F0BEB"/>
    <w:rsid w:val="007F1C7A"/>
    <w:rsid w:val="007F1F96"/>
    <w:rsid w:val="007F1FD9"/>
    <w:rsid w:val="007F3028"/>
    <w:rsid w:val="007F31C9"/>
    <w:rsid w:val="007F46AB"/>
    <w:rsid w:val="007F4F4C"/>
    <w:rsid w:val="007F52B5"/>
    <w:rsid w:val="007F62A9"/>
    <w:rsid w:val="007F62E8"/>
    <w:rsid w:val="007F67B0"/>
    <w:rsid w:val="007F6D0E"/>
    <w:rsid w:val="007F70CF"/>
    <w:rsid w:val="007F7B34"/>
    <w:rsid w:val="00801C86"/>
    <w:rsid w:val="008021DA"/>
    <w:rsid w:val="0080313D"/>
    <w:rsid w:val="008033C9"/>
    <w:rsid w:val="0080437E"/>
    <w:rsid w:val="00804495"/>
    <w:rsid w:val="00804A15"/>
    <w:rsid w:val="008053D9"/>
    <w:rsid w:val="00805B50"/>
    <w:rsid w:val="00806023"/>
    <w:rsid w:val="00806411"/>
    <w:rsid w:val="00806529"/>
    <w:rsid w:val="008078FE"/>
    <w:rsid w:val="0081022A"/>
    <w:rsid w:val="00810EC8"/>
    <w:rsid w:val="00810FEE"/>
    <w:rsid w:val="0081130F"/>
    <w:rsid w:val="00811817"/>
    <w:rsid w:val="0081239F"/>
    <w:rsid w:val="0081282A"/>
    <w:rsid w:val="00812E16"/>
    <w:rsid w:val="00813364"/>
    <w:rsid w:val="00813440"/>
    <w:rsid w:val="008134A6"/>
    <w:rsid w:val="008146DD"/>
    <w:rsid w:val="00814998"/>
    <w:rsid w:val="00815CC4"/>
    <w:rsid w:val="008168A7"/>
    <w:rsid w:val="00817F15"/>
    <w:rsid w:val="0082098C"/>
    <w:rsid w:val="00821957"/>
    <w:rsid w:val="00821AF2"/>
    <w:rsid w:val="008224D6"/>
    <w:rsid w:val="008225AE"/>
    <w:rsid w:val="00822CB6"/>
    <w:rsid w:val="00822EC1"/>
    <w:rsid w:val="00822EFA"/>
    <w:rsid w:val="008231F5"/>
    <w:rsid w:val="008232AC"/>
    <w:rsid w:val="00823CEE"/>
    <w:rsid w:val="00823D89"/>
    <w:rsid w:val="0082487A"/>
    <w:rsid w:val="00824DFE"/>
    <w:rsid w:val="008256CE"/>
    <w:rsid w:val="00825BBF"/>
    <w:rsid w:val="0082631F"/>
    <w:rsid w:val="0082644E"/>
    <w:rsid w:val="00826FB0"/>
    <w:rsid w:val="0082763F"/>
    <w:rsid w:val="008303B2"/>
    <w:rsid w:val="00834752"/>
    <w:rsid w:val="00835FB7"/>
    <w:rsid w:val="008369BC"/>
    <w:rsid w:val="008374CD"/>
    <w:rsid w:val="00837DCB"/>
    <w:rsid w:val="0084017E"/>
    <w:rsid w:val="00840F7B"/>
    <w:rsid w:val="008410A6"/>
    <w:rsid w:val="00843001"/>
    <w:rsid w:val="00845142"/>
    <w:rsid w:val="00845239"/>
    <w:rsid w:val="008461CC"/>
    <w:rsid w:val="00846C3C"/>
    <w:rsid w:val="0084756A"/>
    <w:rsid w:val="008475D6"/>
    <w:rsid w:val="0085046A"/>
    <w:rsid w:val="00850A89"/>
    <w:rsid w:val="00850C6E"/>
    <w:rsid w:val="008518C8"/>
    <w:rsid w:val="00852156"/>
    <w:rsid w:val="00852558"/>
    <w:rsid w:val="008538A9"/>
    <w:rsid w:val="00853ED0"/>
    <w:rsid w:val="0085472D"/>
    <w:rsid w:val="00856071"/>
    <w:rsid w:val="0085622B"/>
    <w:rsid w:val="00856BCF"/>
    <w:rsid w:val="0085790A"/>
    <w:rsid w:val="00861086"/>
    <w:rsid w:val="00861A3E"/>
    <w:rsid w:val="00861C04"/>
    <w:rsid w:val="00861DA4"/>
    <w:rsid w:val="00861FA5"/>
    <w:rsid w:val="008622C0"/>
    <w:rsid w:val="008626CC"/>
    <w:rsid w:val="008629E2"/>
    <w:rsid w:val="008630AB"/>
    <w:rsid w:val="0086592F"/>
    <w:rsid w:val="00865B22"/>
    <w:rsid w:val="00865DD0"/>
    <w:rsid w:val="008660C9"/>
    <w:rsid w:val="00866828"/>
    <w:rsid w:val="008669EE"/>
    <w:rsid w:val="00866DC1"/>
    <w:rsid w:val="00866E2A"/>
    <w:rsid w:val="00867210"/>
    <w:rsid w:val="008673A5"/>
    <w:rsid w:val="008719F8"/>
    <w:rsid w:val="00871B21"/>
    <w:rsid w:val="00871CF0"/>
    <w:rsid w:val="008723E8"/>
    <w:rsid w:val="0087261A"/>
    <w:rsid w:val="00872DFD"/>
    <w:rsid w:val="00873525"/>
    <w:rsid w:val="008735EE"/>
    <w:rsid w:val="00873C2E"/>
    <w:rsid w:val="00873DA1"/>
    <w:rsid w:val="008748CB"/>
    <w:rsid w:val="00874911"/>
    <w:rsid w:val="00875E79"/>
    <w:rsid w:val="008766D1"/>
    <w:rsid w:val="00877037"/>
    <w:rsid w:val="008778F6"/>
    <w:rsid w:val="00877FC1"/>
    <w:rsid w:val="0088037C"/>
    <w:rsid w:val="00880A5C"/>
    <w:rsid w:val="00883A3C"/>
    <w:rsid w:val="00883B3B"/>
    <w:rsid w:val="0088402D"/>
    <w:rsid w:val="0088419A"/>
    <w:rsid w:val="00884249"/>
    <w:rsid w:val="008849D9"/>
    <w:rsid w:val="00884FDD"/>
    <w:rsid w:val="008850D5"/>
    <w:rsid w:val="00885150"/>
    <w:rsid w:val="0088586C"/>
    <w:rsid w:val="00887834"/>
    <w:rsid w:val="00887EA8"/>
    <w:rsid w:val="008920A3"/>
    <w:rsid w:val="00892501"/>
    <w:rsid w:val="00892659"/>
    <w:rsid w:val="008928A2"/>
    <w:rsid w:val="00892DBD"/>
    <w:rsid w:val="00892E0B"/>
    <w:rsid w:val="00892ECB"/>
    <w:rsid w:val="008935EC"/>
    <w:rsid w:val="00893BFC"/>
    <w:rsid w:val="00893CB5"/>
    <w:rsid w:val="0089465D"/>
    <w:rsid w:val="008948EC"/>
    <w:rsid w:val="00895349"/>
    <w:rsid w:val="00895D9F"/>
    <w:rsid w:val="00896960"/>
    <w:rsid w:val="00897ED5"/>
    <w:rsid w:val="008A041C"/>
    <w:rsid w:val="008A1E28"/>
    <w:rsid w:val="008A2273"/>
    <w:rsid w:val="008A2346"/>
    <w:rsid w:val="008A30C6"/>
    <w:rsid w:val="008A3FAA"/>
    <w:rsid w:val="008A5D36"/>
    <w:rsid w:val="008A6ABA"/>
    <w:rsid w:val="008A6ADC"/>
    <w:rsid w:val="008A6FF7"/>
    <w:rsid w:val="008B0AC0"/>
    <w:rsid w:val="008B16D0"/>
    <w:rsid w:val="008B1D48"/>
    <w:rsid w:val="008B2BB5"/>
    <w:rsid w:val="008B2E92"/>
    <w:rsid w:val="008B305F"/>
    <w:rsid w:val="008B314C"/>
    <w:rsid w:val="008B331E"/>
    <w:rsid w:val="008B3CCA"/>
    <w:rsid w:val="008B5731"/>
    <w:rsid w:val="008B5EA7"/>
    <w:rsid w:val="008B5FE9"/>
    <w:rsid w:val="008B73C7"/>
    <w:rsid w:val="008B7B95"/>
    <w:rsid w:val="008C04F1"/>
    <w:rsid w:val="008C0D8F"/>
    <w:rsid w:val="008C0F62"/>
    <w:rsid w:val="008C1596"/>
    <w:rsid w:val="008C2111"/>
    <w:rsid w:val="008C281D"/>
    <w:rsid w:val="008C3A3C"/>
    <w:rsid w:val="008C499C"/>
    <w:rsid w:val="008C5568"/>
    <w:rsid w:val="008C56DC"/>
    <w:rsid w:val="008C5AD8"/>
    <w:rsid w:val="008C5F63"/>
    <w:rsid w:val="008C62E3"/>
    <w:rsid w:val="008C656A"/>
    <w:rsid w:val="008C6C69"/>
    <w:rsid w:val="008C7976"/>
    <w:rsid w:val="008C7A05"/>
    <w:rsid w:val="008D00B9"/>
    <w:rsid w:val="008D0143"/>
    <w:rsid w:val="008D103F"/>
    <w:rsid w:val="008D1506"/>
    <w:rsid w:val="008D23E0"/>
    <w:rsid w:val="008D27A6"/>
    <w:rsid w:val="008D3887"/>
    <w:rsid w:val="008D4369"/>
    <w:rsid w:val="008D4BAD"/>
    <w:rsid w:val="008D6319"/>
    <w:rsid w:val="008D68EF"/>
    <w:rsid w:val="008D7C56"/>
    <w:rsid w:val="008D7FD5"/>
    <w:rsid w:val="008E09EA"/>
    <w:rsid w:val="008E0BC6"/>
    <w:rsid w:val="008E1363"/>
    <w:rsid w:val="008E1B2A"/>
    <w:rsid w:val="008E1E6A"/>
    <w:rsid w:val="008E2420"/>
    <w:rsid w:val="008E2C18"/>
    <w:rsid w:val="008E2E7C"/>
    <w:rsid w:val="008E3292"/>
    <w:rsid w:val="008E351E"/>
    <w:rsid w:val="008E3CBE"/>
    <w:rsid w:val="008E40D4"/>
    <w:rsid w:val="008E475F"/>
    <w:rsid w:val="008E4853"/>
    <w:rsid w:val="008E5A43"/>
    <w:rsid w:val="008E7A48"/>
    <w:rsid w:val="008E7D66"/>
    <w:rsid w:val="008F0066"/>
    <w:rsid w:val="008F0FC7"/>
    <w:rsid w:val="008F14D2"/>
    <w:rsid w:val="008F1FB6"/>
    <w:rsid w:val="008F2187"/>
    <w:rsid w:val="008F23CC"/>
    <w:rsid w:val="008F25A1"/>
    <w:rsid w:val="008F3281"/>
    <w:rsid w:val="008F33B9"/>
    <w:rsid w:val="008F36C2"/>
    <w:rsid w:val="008F52B6"/>
    <w:rsid w:val="008F5710"/>
    <w:rsid w:val="008F5F02"/>
    <w:rsid w:val="008F5F38"/>
    <w:rsid w:val="008F6446"/>
    <w:rsid w:val="008F692D"/>
    <w:rsid w:val="008F6A0C"/>
    <w:rsid w:val="008F6C99"/>
    <w:rsid w:val="008F7331"/>
    <w:rsid w:val="0090077B"/>
    <w:rsid w:val="009008A0"/>
    <w:rsid w:val="00901246"/>
    <w:rsid w:val="00901B3A"/>
    <w:rsid w:val="00902334"/>
    <w:rsid w:val="00902824"/>
    <w:rsid w:val="00902CA9"/>
    <w:rsid w:val="00903071"/>
    <w:rsid w:val="009049E0"/>
    <w:rsid w:val="0090515D"/>
    <w:rsid w:val="00905806"/>
    <w:rsid w:val="00906754"/>
    <w:rsid w:val="009068C0"/>
    <w:rsid w:val="009100E8"/>
    <w:rsid w:val="00911D69"/>
    <w:rsid w:val="009126B4"/>
    <w:rsid w:val="00913E67"/>
    <w:rsid w:val="009142FC"/>
    <w:rsid w:val="00914339"/>
    <w:rsid w:val="00914B9B"/>
    <w:rsid w:val="0091546F"/>
    <w:rsid w:val="00916A9E"/>
    <w:rsid w:val="00917604"/>
    <w:rsid w:val="00917D47"/>
    <w:rsid w:val="009246BA"/>
    <w:rsid w:val="00925779"/>
    <w:rsid w:val="00925ADF"/>
    <w:rsid w:val="009261C5"/>
    <w:rsid w:val="009261CE"/>
    <w:rsid w:val="00926BC3"/>
    <w:rsid w:val="00927804"/>
    <w:rsid w:val="00927F4E"/>
    <w:rsid w:val="00930142"/>
    <w:rsid w:val="009326EE"/>
    <w:rsid w:val="00932CCB"/>
    <w:rsid w:val="0093368A"/>
    <w:rsid w:val="00933E98"/>
    <w:rsid w:val="00935D18"/>
    <w:rsid w:val="0093610B"/>
    <w:rsid w:val="009364B2"/>
    <w:rsid w:val="00936CB8"/>
    <w:rsid w:val="00937244"/>
    <w:rsid w:val="00937D1E"/>
    <w:rsid w:val="00940BF3"/>
    <w:rsid w:val="0094163F"/>
    <w:rsid w:val="00941896"/>
    <w:rsid w:val="009426AD"/>
    <w:rsid w:val="00943626"/>
    <w:rsid w:val="00943823"/>
    <w:rsid w:val="009438F1"/>
    <w:rsid w:val="00943B69"/>
    <w:rsid w:val="00943EFF"/>
    <w:rsid w:val="009447AD"/>
    <w:rsid w:val="009447E2"/>
    <w:rsid w:val="0094539F"/>
    <w:rsid w:val="009456E9"/>
    <w:rsid w:val="00945EEF"/>
    <w:rsid w:val="0094623F"/>
    <w:rsid w:val="009467DF"/>
    <w:rsid w:val="009473A9"/>
    <w:rsid w:val="009475DA"/>
    <w:rsid w:val="00950ACF"/>
    <w:rsid w:val="00950CFB"/>
    <w:rsid w:val="00950FCE"/>
    <w:rsid w:val="00951779"/>
    <w:rsid w:val="009519E7"/>
    <w:rsid w:val="00951E4D"/>
    <w:rsid w:val="00951FCB"/>
    <w:rsid w:val="009520C1"/>
    <w:rsid w:val="0095342A"/>
    <w:rsid w:val="009559CF"/>
    <w:rsid w:val="009568FA"/>
    <w:rsid w:val="0095731B"/>
    <w:rsid w:val="00957B8B"/>
    <w:rsid w:val="00957D13"/>
    <w:rsid w:val="009610BC"/>
    <w:rsid w:val="00961506"/>
    <w:rsid w:val="00961641"/>
    <w:rsid w:val="00961A3E"/>
    <w:rsid w:val="00963332"/>
    <w:rsid w:val="00963CE6"/>
    <w:rsid w:val="00964722"/>
    <w:rsid w:val="00964A01"/>
    <w:rsid w:val="00965415"/>
    <w:rsid w:val="00965B37"/>
    <w:rsid w:val="00965B7E"/>
    <w:rsid w:val="00965D0F"/>
    <w:rsid w:val="00966971"/>
    <w:rsid w:val="00966D08"/>
    <w:rsid w:val="00967A30"/>
    <w:rsid w:val="00967B4E"/>
    <w:rsid w:val="00971352"/>
    <w:rsid w:val="009716E2"/>
    <w:rsid w:val="00971B73"/>
    <w:rsid w:val="00973895"/>
    <w:rsid w:val="00973B9E"/>
    <w:rsid w:val="00973F67"/>
    <w:rsid w:val="00974457"/>
    <w:rsid w:val="00974521"/>
    <w:rsid w:val="0097468D"/>
    <w:rsid w:val="00974E81"/>
    <w:rsid w:val="00975C23"/>
    <w:rsid w:val="00975D16"/>
    <w:rsid w:val="00975F53"/>
    <w:rsid w:val="00976803"/>
    <w:rsid w:val="00976A8E"/>
    <w:rsid w:val="009771DC"/>
    <w:rsid w:val="0097738F"/>
    <w:rsid w:val="00980543"/>
    <w:rsid w:val="009806E6"/>
    <w:rsid w:val="00981AD6"/>
    <w:rsid w:val="00982896"/>
    <w:rsid w:val="00982A4B"/>
    <w:rsid w:val="009830B3"/>
    <w:rsid w:val="00983939"/>
    <w:rsid w:val="00984495"/>
    <w:rsid w:val="00984739"/>
    <w:rsid w:val="0098490A"/>
    <w:rsid w:val="00985B6E"/>
    <w:rsid w:val="0098641E"/>
    <w:rsid w:val="00986A2F"/>
    <w:rsid w:val="00986F75"/>
    <w:rsid w:val="00990537"/>
    <w:rsid w:val="00990B02"/>
    <w:rsid w:val="00991140"/>
    <w:rsid w:val="00991AFF"/>
    <w:rsid w:val="0099277C"/>
    <w:rsid w:val="009934E9"/>
    <w:rsid w:val="00993765"/>
    <w:rsid w:val="0099377A"/>
    <w:rsid w:val="00993E36"/>
    <w:rsid w:val="009942B1"/>
    <w:rsid w:val="00994A8C"/>
    <w:rsid w:val="00994F2E"/>
    <w:rsid w:val="0099512C"/>
    <w:rsid w:val="00995C40"/>
    <w:rsid w:val="00995D97"/>
    <w:rsid w:val="00996314"/>
    <w:rsid w:val="009967B7"/>
    <w:rsid w:val="00997332"/>
    <w:rsid w:val="009973A7"/>
    <w:rsid w:val="009A0D1E"/>
    <w:rsid w:val="009A0F14"/>
    <w:rsid w:val="009A1716"/>
    <w:rsid w:val="009A1BD3"/>
    <w:rsid w:val="009A1C35"/>
    <w:rsid w:val="009A2149"/>
    <w:rsid w:val="009A30D6"/>
    <w:rsid w:val="009A3224"/>
    <w:rsid w:val="009A4E7A"/>
    <w:rsid w:val="009A5302"/>
    <w:rsid w:val="009A55A5"/>
    <w:rsid w:val="009A5CEE"/>
    <w:rsid w:val="009A5D3B"/>
    <w:rsid w:val="009A646F"/>
    <w:rsid w:val="009A6666"/>
    <w:rsid w:val="009A71AB"/>
    <w:rsid w:val="009A7A6C"/>
    <w:rsid w:val="009A7DBA"/>
    <w:rsid w:val="009B06E6"/>
    <w:rsid w:val="009B0FB4"/>
    <w:rsid w:val="009B1566"/>
    <w:rsid w:val="009B19B2"/>
    <w:rsid w:val="009B22FE"/>
    <w:rsid w:val="009B2DCA"/>
    <w:rsid w:val="009B30FD"/>
    <w:rsid w:val="009B3EBD"/>
    <w:rsid w:val="009B4786"/>
    <w:rsid w:val="009B5B8B"/>
    <w:rsid w:val="009B65B7"/>
    <w:rsid w:val="009B791D"/>
    <w:rsid w:val="009C0A7B"/>
    <w:rsid w:val="009C0AC5"/>
    <w:rsid w:val="009C1824"/>
    <w:rsid w:val="009C1AF4"/>
    <w:rsid w:val="009C23D6"/>
    <w:rsid w:val="009C24A0"/>
    <w:rsid w:val="009C287E"/>
    <w:rsid w:val="009C4993"/>
    <w:rsid w:val="009C4C1F"/>
    <w:rsid w:val="009C4E7F"/>
    <w:rsid w:val="009C628C"/>
    <w:rsid w:val="009C667D"/>
    <w:rsid w:val="009C675C"/>
    <w:rsid w:val="009C7158"/>
    <w:rsid w:val="009C7402"/>
    <w:rsid w:val="009C745B"/>
    <w:rsid w:val="009C75C0"/>
    <w:rsid w:val="009C7DAA"/>
    <w:rsid w:val="009D0A02"/>
    <w:rsid w:val="009D10F8"/>
    <w:rsid w:val="009D1490"/>
    <w:rsid w:val="009D1EAB"/>
    <w:rsid w:val="009D26B2"/>
    <w:rsid w:val="009D2A04"/>
    <w:rsid w:val="009D2B1A"/>
    <w:rsid w:val="009D2E4B"/>
    <w:rsid w:val="009D3093"/>
    <w:rsid w:val="009D34ED"/>
    <w:rsid w:val="009D3672"/>
    <w:rsid w:val="009D3F4B"/>
    <w:rsid w:val="009D4DE7"/>
    <w:rsid w:val="009D54F6"/>
    <w:rsid w:val="009D6DF7"/>
    <w:rsid w:val="009D77C9"/>
    <w:rsid w:val="009D7A21"/>
    <w:rsid w:val="009D7A89"/>
    <w:rsid w:val="009D7BD5"/>
    <w:rsid w:val="009E02C9"/>
    <w:rsid w:val="009E0B4E"/>
    <w:rsid w:val="009E13EE"/>
    <w:rsid w:val="009E1532"/>
    <w:rsid w:val="009E19CD"/>
    <w:rsid w:val="009E1B3E"/>
    <w:rsid w:val="009E2673"/>
    <w:rsid w:val="009E2A29"/>
    <w:rsid w:val="009E31CF"/>
    <w:rsid w:val="009E37F9"/>
    <w:rsid w:val="009E3EDC"/>
    <w:rsid w:val="009E4545"/>
    <w:rsid w:val="009E4C1B"/>
    <w:rsid w:val="009E4EF9"/>
    <w:rsid w:val="009E506E"/>
    <w:rsid w:val="009E5DCA"/>
    <w:rsid w:val="009E668B"/>
    <w:rsid w:val="009E66B4"/>
    <w:rsid w:val="009E675F"/>
    <w:rsid w:val="009E79AE"/>
    <w:rsid w:val="009F0502"/>
    <w:rsid w:val="009F321A"/>
    <w:rsid w:val="009F37C9"/>
    <w:rsid w:val="009F3EC0"/>
    <w:rsid w:val="009F3F55"/>
    <w:rsid w:val="009F3F86"/>
    <w:rsid w:val="009F40CF"/>
    <w:rsid w:val="009F4343"/>
    <w:rsid w:val="009F465F"/>
    <w:rsid w:val="009F4B8D"/>
    <w:rsid w:val="009F4E09"/>
    <w:rsid w:val="009F5625"/>
    <w:rsid w:val="009F5ADB"/>
    <w:rsid w:val="009F5F1F"/>
    <w:rsid w:val="009F61FD"/>
    <w:rsid w:val="009F7106"/>
    <w:rsid w:val="009F7CFD"/>
    <w:rsid w:val="00A009C1"/>
    <w:rsid w:val="00A00D4B"/>
    <w:rsid w:val="00A00F99"/>
    <w:rsid w:val="00A01452"/>
    <w:rsid w:val="00A014EB"/>
    <w:rsid w:val="00A01EAF"/>
    <w:rsid w:val="00A0278A"/>
    <w:rsid w:val="00A02CC8"/>
    <w:rsid w:val="00A02F61"/>
    <w:rsid w:val="00A03083"/>
    <w:rsid w:val="00A03F74"/>
    <w:rsid w:val="00A043EB"/>
    <w:rsid w:val="00A04681"/>
    <w:rsid w:val="00A0490D"/>
    <w:rsid w:val="00A0499D"/>
    <w:rsid w:val="00A04B12"/>
    <w:rsid w:val="00A04D06"/>
    <w:rsid w:val="00A0588C"/>
    <w:rsid w:val="00A060CD"/>
    <w:rsid w:val="00A06D2D"/>
    <w:rsid w:val="00A109A7"/>
    <w:rsid w:val="00A11220"/>
    <w:rsid w:val="00A119F2"/>
    <w:rsid w:val="00A12208"/>
    <w:rsid w:val="00A124A4"/>
    <w:rsid w:val="00A12AA9"/>
    <w:rsid w:val="00A130A1"/>
    <w:rsid w:val="00A1567E"/>
    <w:rsid w:val="00A1573F"/>
    <w:rsid w:val="00A1607A"/>
    <w:rsid w:val="00A1667A"/>
    <w:rsid w:val="00A17BC3"/>
    <w:rsid w:val="00A17DAC"/>
    <w:rsid w:val="00A2016D"/>
    <w:rsid w:val="00A20A8D"/>
    <w:rsid w:val="00A2260B"/>
    <w:rsid w:val="00A22932"/>
    <w:rsid w:val="00A229EA"/>
    <w:rsid w:val="00A24592"/>
    <w:rsid w:val="00A248C7"/>
    <w:rsid w:val="00A24962"/>
    <w:rsid w:val="00A24B69"/>
    <w:rsid w:val="00A24BA0"/>
    <w:rsid w:val="00A25505"/>
    <w:rsid w:val="00A263B0"/>
    <w:rsid w:val="00A26486"/>
    <w:rsid w:val="00A3054A"/>
    <w:rsid w:val="00A30966"/>
    <w:rsid w:val="00A31417"/>
    <w:rsid w:val="00A31BE8"/>
    <w:rsid w:val="00A31CCE"/>
    <w:rsid w:val="00A33B22"/>
    <w:rsid w:val="00A3535E"/>
    <w:rsid w:val="00A35F75"/>
    <w:rsid w:val="00A36314"/>
    <w:rsid w:val="00A3638F"/>
    <w:rsid w:val="00A36857"/>
    <w:rsid w:val="00A36AFA"/>
    <w:rsid w:val="00A37696"/>
    <w:rsid w:val="00A378F0"/>
    <w:rsid w:val="00A402DF"/>
    <w:rsid w:val="00A41529"/>
    <w:rsid w:val="00A4291C"/>
    <w:rsid w:val="00A42AD6"/>
    <w:rsid w:val="00A42CA7"/>
    <w:rsid w:val="00A437B7"/>
    <w:rsid w:val="00A449CE"/>
    <w:rsid w:val="00A44D9A"/>
    <w:rsid w:val="00A451B3"/>
    <w:rsid w:val="00A458A2"/>
    <w:rsid w:val="00A45EAF"/>
    <w:rsid w:val="00A47BF1"/>
    <w:rsid w:val="00A51577"/>
    <w:rsid w:val="00A51CA9"/>
    <w:rsid w:val="00A52CD1"/>
    <w:rsid w:val="00A5328C"/>
    <w:rsid w:val="00A53FF2"/>
    <w:rsid w:val="00A546B5"/>
    <w:rsid w:val="00A54B73"/>
    <w:rsid w:val="00A565D2"/>
    <w:rsid w:val="00A568C5"/>
    <w:rsid w:val="00A56F2D"/>
    <w:rsid w:val="00A576CA"/>
    <w:rsid w:val="00A57871"/>
    <w:rsid w:val="00A60B3E"/>
    <w:rsid w:val="00A60DD3"/>
    <w:rsid w:val="00A623AE"/>
    <w:rsid w:val="00A62AD0"/>
    <w:rsid w:val="00A62BD5"/>
    <w:rsid w:val="00A62FA1"/>
    <w:rsid w:val="00A639F7"/>
    <w:rsid w:val="00A63EB5"/>
    <w:rsid w:val="00A6550C"/>
    <w:rsid w:val="00A66081"/>
    <w:rsid w:val="00A664DE"/>
    <w:rsid w:val="00A67F5A"/>
    <w:rsid w:val="00A70A10"/>
    <w:rsid w:val="00A70A56"/>
    <w:rsid w:val="00A719AA"/>
    <w:rsid w:val="00A71EFF"/>
    <w:rsid w:val="00A7267A"/>
    <w:rsid w:val="00A735FF"/>
    <w:rsid w:val="00A73880"/>
    <w:rsid w:val="00A7395F"/>
    <w:rsid w:val="00A73E42"/>
    <w:rsid w:val="00A740AC"/>
    <w:rsid w:val="00A74439"/>
    <w:rsid w:val="00A74C39"/>
    <w:rsid w:val="00A75023"/>
    <w:rsid w:val="00A7514C"/>
    <w:rsid w:val="00A7564D"/>
    <w:rsid w:val="00A760B4"/>
    <w:rsid w:val="00A760D4"/>
    <w:rsid w:val="00A8142C"/>
    <w:rsid w:val="00A8191D"/>
    <w:rsid w:val="00A81F46"/>
    <w:rsid w:val="00A82102"/>
    <w:rsid w:val="00A822CF"/>
    <w:rsid w:val="00A832B6"/>
    <w:rsid w:val="00A83806"/>
    <w:rsid w:val="00A84795"/>
    <w:rsid w:val="00A849EF"/>
    <w:rsid w:val="00A8627A"/>
    <w:rsid w:val="00A865C0"/>
    <w:rsid w:val="00A86A7F"/>
    <w:rsid w:val="00A87991"/>
    <w:rsid w:val="00A91274"/>
    <w:rsid w:val="00A9183F"/>
    <w:rsid w:val="00A92325"/>
    <w:rsid w:val="00A92BA3"/>
    <w:rsid w:val="00A92D5F"/>
    <w:rsid w:val="00A93439"/>
    <w:rsid w:val="00A934E0"/>
    <w:rsid w:val="00A938E5"/>
    <w:rsid w:val="00A93B88"/>
    <w:rsid w:val="00A9431B"/>
    <w:rsid w:val="00A9476C"/>
    <w:rsid w:val="00A95394"/>
    <w:rsid w:val="00A95FEA"/>
    <w:rsid w:val="00A9608A"/>
    <w:rsid w:val="00A96579"/>
    <w:rsid w:val="00A96609"/>
    <w:rsid w:val="00A96925"/>
    <w:rsid w:val="00A96A5F"/>
    <w:rsid w:val="00A97720"/>
    <w:rsid w:val="00A97BB6"/>
    <w:rsid w:val="00A97C29"/>
    <w:rsid w:val="00AA0094"/>
    <w:rsid w:val="00AA0377"/>
    <w:rsid w:val="00AA04C5"/>
    <w:rsid w:val="00AA06DF"/>
    <w:rsid w:val="00AA1085"/>
    <w:rsid w:val="00AA11AB"/>
    <w:rsid w:val="00AA13BC"/>
    <w:rsid w:val="00AA1FF1"/>
    <w:rsid w:val="00AA20B3"/>
    <w:rsid w:val="00AA2BA3"/>
    <w:rsid w:val="00AA45DD"/>
    <w:rsid w:val="00AA58F3"/>
    <w:rsid w:val="00AA5E18"/>
    <w:rsid w:val="00AA60B9"/>
    <w:rsid w:val="00AA6661"/>
    <w:rsid w:val="00AA7294"/>
    <w:rsid w:val="00AA7F25"/>
    <w:rsid w:val="00AB00E2"/>
    <w:rsid w:val="00AB073D"/>
    <w:rsid w:val="00AB3456"/>
    <w:rsid w:val="00AB353A"/>
    <w:rsid w:val="00AB3BFA"/>
    <w:rsid w:val="00AB3E8B"/>
    <w:rsid w:val="00AB4B0D"/>
    <w:rsid w:val="00AB511D"/>
    <w:rsid w:val="00AB52D4"/>
    <w:rsid w:val="00AB542F"/>
    <w:rsid w:val="00AB58AD"/>
    <w:rsid w:val="00AB5C51"/>
    <w:rsid w:val="00AB6386"/>
    <w:rsid w:val="00AB7061"/>
    <w:rsid w:val="00AB71EE"/>
    <w:rsid w:val="00AB77D0"/>
    <w:rsid w:val="00AC00B8"/>
    <w:rsid w:val="00AC0295"/>
    <w:rsid w:val="00AC0EA4"/>
    <w:rsid w:val="00AC1027"/>
    <w:rsid w:val="00AC2E05"/>
    <w:rsid w:val="00AC3817"/>
    <w:rsid w:val="00AC38C4"/>
    <w:rsid w:val="00AC3E09"/>
    <w:rsid w:val="00AC561E"/>
    <w:rsid w:val="00AC7567"/>
    <w:rsid w:val="00AC7B10"/>
    <w:rsid w:val="00AD0D7A"/>
    <w:rsid w:val="00AD2203"/>
    <w:rsid w:val="00AD30BA"/>
    <w:rsid w:val="00AD31B9"/>
    <w:rsid w:val="00AD323A"/>
    <w:rsid w:val="00AD37AD"/>
    <w:rsid w:val="00AD5331"/>
    <w:rsid w:val="00AD5E07"/>
    <w:rsid w:val="00AD606B"/>
    <w:rsid w:val="00AD6612"/>
    <w:rsid w:val="00AD675D"/>
    <w:rsid w:val="00AD6E1F"/>
    <w:rsid w:val="00AE0140"/>
    <w:rsid w:val="00AE0717"/>
    <w:rsid w:val="00AE1111"/>
    <w:rsid w:val="00AE14A7"/>
    <w:rsid w:val="00AE14C7"/>
    <w:rsid w:val="00AE18CF"/>
    <w:rsid w:val="00AE20EB"/>
    <w:rsid w:val="00AE33D1"/>
    <w:rsid w:val="00AE3692"/>
    <w:rsid w:val="00AE5B00"/>
    <w:rsid w:val="00AE66D7"/>
    <w:rsid w:val="00AE7CB6"/>
    <w:rsid w:val="00AE7D20"/>
    <w:rsid w:val="00AF00DF"/>
    <w:rsid w:val="00AF048E"/>
    <w:rsid w:val="00AF16AB"/>
    <w:rsid w:val="00AF1EFB"/>
    <w:rsid w:val="00AF202E"/>
    <w:rsid w:val="00AF3167"/>
    <w:rsid w:val="00AF342F"/>
    <w:rsid w:val="00AF3839"/>
    <w:rsid w:val="00AF3907"/>
    <w:rsid w:val="00AF3F21"/>
    <w:rsid w:val="00AF43FD"/>
    <w:rsid w:val="00AF6F64"/>
    <w:rsid w:val="00AF7A42"/>
    <w:rsid w:val="00B007BD"/>
    <w:rsid w:val="00B00C71"/>
    <w:rsid w:val="00B013C7"/>
    <w:rsid w:val="00B0261B"/>
    <w:rsid w:val="00B0424A"/>
    <w:rsid w:val="00B05A93"/>
    <w:rsid w:val="00B05C2B"/>
    <w:rsid w:val="00B05F09"/>
    <w:rsid w:val="00B05F97"/>
    <w:rsid w:val="00B06466"/>
    <w:rsid w:val="00B0666A"/>
    <w:rsid w:val="00B06BCB"/>
    <w:rsid w:val="00B075AC"/>
    <w:rsid w:val="00B10055"/>
    <w:rsid w:val="00B118E9"/>
    <w:rsid w:val="00B1277A"/>
    <w:rsid w:val="00B12A36"/>
    <w:rsid w:val="00B12ADC"/>
    <w:rsid w:val="00B1348B"/>
    <w:rsid w:val="00B13DCD"/>
    <w:rsid w:val="00B14434"/>
    <w:rsid w:val="00B144FE"/>
    <w:rsid w:val="00B1469B"/>
    <w:rsid w:val="00B14C08"/>
    <w:rsid w:val="00B154C7"/>
    <w:rsid w:val="00B15960"/>
    <w:rsid w:val="00B16243"/>
    <w:rsid w:val="00B164A6"/>
    <w:rsid w:val="00B16EA8"/>
    <w:rsid w:val="00B1795C"/>
    <w:rsid w:val="00B21CBE"/>
    <w:rsid w:val="00B21CDC"/>
    <w:rsid w:val="00B225A8"/>
    <w:rsid w:val="00B22A50"/>
    <w:rsid w:val="00B2359B"/>
    <w:rsid w:val="00B23940"/>
    <w:rsid w:val="00B24210"/>
    <w:rsid w:val="00B24950"/>
    <w:rsid w:val="00B26679"/>
    <w:rsid w:val="00B27361"/>
    <w:rsid w:val="00B27404"/>
    <w:rsid w:val="00B277E2"/>
    <w:rsid w:val="00B30108"/>
    <w:rsid w:val="00B3106A"/>
    <w:rsid w:val="00B31E01"/>
    <w:rsid w:val="00B31E35"/>
    <w:rsid w:val="00B3230E"/>
    <w:rsid w:val="00B329C9"/>
    <w:rsid w:val="00B33E5B"/>
    <w:rsid w:val="00B33E73"/>
    <w:rsid w:val="00B34E49"/>
    <w:rsid w:val="00B34FF6"/>
    <w:rsid w:val="00B35785"/>
    <w:rsid w:val="00B3591E"/>
    <w:rsid w:val="00B35DE9"/>
    <w:rsid w:val="00B36019"/>
    <w:rsid w:val="00B361F4"/>
    <w:rsid w:val="00B366B7"/>
    <w:rsid w:val="00B3674C"/>
    <w:rsid w:val="00B36E59"/>
    <w:rsid w:val="00B40815"/>
    <w:rsid w:val="00B40A57"/>
    <w:rsid w:val="00B41440"/>
    <w:rsid w:val="00B42946"/>
    <w:rsid w:val="00B429FA"/>
    <w:rsid w:val="00B42A29"/>
    <w:rsid w:val="00B43077"/>
    <w:rsid w:val="00B4331F"/>
    <w:rsid w:val="00B440A1"/>
    <w:rsid w:val="00B444F1"/>
    <w:rsid w:val="00B44C7B"/>
    <w:rsid w:val="00B4591C"/>
    <w:rsid w:val="00B45CA9"/>
    <w:rsid w:val="00B46324"/>
    <w:rsid w:val="00B47483"/>
    <w:rsid w:val="00B4749A"/>
    <w:rsid w:val="00B5058F"/>
    <w:rsid w:val="00B5143E"/>
    <w:rsid w:val="00B517FB"/>
    <w:rsid w:val="00B51C52"/>
    <w:rsid w:val="00B52181"/>
    <w:rsid w:val="00B53133"/>
    <w:rsid w:val="00B53894"/>
    <w:rsid w:val="00B548A2"/>
    <w:rsid w:val="00B54F7B"/>
    <w:rsid w:val="00B55286"/>
    <w:rsid w:val="00B553B2"/>
    <w:rsid w:val="00B55C40"/>
    <w:rsid w:val="00B55F45"/>
    <w:rsid w:val="00B57744"/>
    <w:rsid w:val="00B57F0D"/>
    <w:rsid w:val="00B602B7"/>
    <w:rsid w:val="00B60624"/>
    <w:rsid w:val="00B6097C"/>
    <w:rsid w:val="00B617F9"/>
    <w:rsid w:val="00B618FE"/>
    <w:rsid w:val="00B61A69"/>
    <w:rsid w:val="00B61BB8"/>
    <w:rsid w:val="00B61DEA"/>
    <w:rsid w:val="00B6233E"/>
    <w:rsid w:val="00B62EC2"/>
    <w:rsid w:val="00B639B9"/>
    <w:rsid w:val="00B63DAC"/>
    <w:rsid w:val="00B63EA9"/>
    <w:rsid w:val="00B64198"/>
    <w:rsid w:val="00B641D0"/>
    <w:rsid w:val="00B6455A"/>
    <w:rsid w:val="00B6503D"/>
    <w:rsid w:val="00B65239"/>
    <w:rsid w:val="00B66736"/>
    <w:rsid w:val="00B66A4A"/>
    <w:rsid w:val="00B671A5"/>
    <w:rsid w:val="00B70257"/>
    <w:rsid w:val="00B7069C"/>
    <w:rsid w:val="00B70A84"/>
    <w:rsid w:val="00B71C9F"/>
    <w:rsid w:val="00B7245C"/>
    <w:rsid w:val="00B74814"/>
    <w:rsid w:val="00B75446"/>
    <w:rsid w:val="00B75E4C"/>
    <w:rsid w:val="00B76518"/>
    <w:rsid w:val="00B767F3"/>
    <w:rsid w:val="00B76902"/>
    <w:rsid w:val="00B76950"/>
    <w:rsid w:val="00B776F6"/>
    <w:rsid w:val="00B804C4"/>
    <w:rsid w:val="00B807C0"/>
    <w:rsid w:val="00B812A7"/>
    <w:rsid w:val="00B8144E"/>
    <w:rsid w:val="00B81834"/>
    <w:rsid w:val="00B81F82"/>
    <w:rsid w:val="00B82642"/>
    <w:rsid w:val="00B82D93"/>
    <w:rsid w:val="00B83D58"/>
    <w:rsid w:val="00B84461"/>
    <w:rsid w:val="00B855A9"/>
    <w:rsid w:val="00B85A32"/>
    <w:rsid w:val="00B86CD2"/>
    <w:rsid w:val="00B87CCE"/>
    <w:rsid w:val="00B87F9C"/>
    <w:rsid w:val="00B87FBF"/>
    <w:rsid w:val="00B90FA8"/>
    <w:rsid w:val="00B9117B"/>
    <w:rsid w:val="00B91CE6"/>
    <w:rsid w:val="00B92B64"/>
    <w:rsid w:val="00B940D4"/>
    <w:rsid w:val="00B95CAA"/>
    <w:rsid w:val="00B95FA0"/>
    <w:rsid w:val="00B96978"/>
    <w:rsid w:val="00B96E91"/>
    <w:rsid w:val="00B973C0"/>
    <w:rsid w:val="00B9755D"/>
    <w:rsid w:val="00BA1ACF"/>
    <w:rsid w:val="00BA1F24"/>
    <w:rsid w:val="00BA203E"/>
    <w:rsid w:val="00BA2724"/>
    <w:rsid w:val="00BA2904"/>
    <w:rsid w:val="00BA392A"/>
    <w:rsid w:val="00BA39C9"/>
    <w:rsid w:val="00BA39EE"/>
    <w:rsid w:val="00BA41B8"/>
    <w:rsid w:val="00BA464C"/>
    <w:rsid w:val="00BA4828"/>
    <w:rsid w:val="00BA49D8"/>
    <w:rsid w:val="00BA5112"/>
    <w:rsid w:val="00BA512B"/>
    <w:rsid w:val="00BA52A9"/>
    <w:rsid w:val="00BA57BC"/>
    <w:rsid w:val="00BA6A46"/>
    <w:rsid w:val="00BB06EB"/>
    <w:rsid w:val="00BB090C"/>
    <w:rsid w:val="00BB0CF5"/>
    <w:rsid w:val="00BB14F4"/>
    <w:rsid w:val="00BB15C6"/>
    <w:rsid w:val="00BB1706"/>
    <w:rsid w:val="00BB1DBA"/>
    <w:rsid w:val="00BB1F62"/>
    <w:rsid w:val="00BB26A8"/>
    <w:rsid w:val="00BB338A"/>
    <w:rsid w:val="00BB48E5"/>
    <w:rsid w:val="00BB5368"/>
    <w:rsid w:val="00BB5469"/>
    <w:rsid w:val="00BB5539"/>
    <w:rsid w:val="00BB5697"/>
    <w:rsid w:val="00BB5A5A"/>
    <w:rsid w:val="00BB6E8D"/>
    <w:rsid w:val="00BB706F"/>
    <w:rsid w:val="00BB7F8F"/>
    <w:rsid w:val="00BC0080"/>
    <w:rsid w:val="00BC0E99"/>
    <w:rsid w:val="00BC1788"/>
    <w:rsid w:val="00BC1B8C"/>
    <w:rsid w:val="00BC2511"/>
    <w:rsid w:val="00BC3429"/>
    <w:rsid w:val="00BC3547"/>
    <w:rsid w:val="00BC3AAC"/>
    <w:rsid w:val="00BC45C7"/>
    <w:rsid w:val="00BC53EC"/>
    <w:rsid w:val="00BC5645"/>
    <w:rsid w:val="00BC5F68"/>
    <w:rsid w:val="00BC611A"/>
    <w:rsid w:val="00BC722E"/>
    <w:rsid w:val="00BC7840"/>
    <w:rsid w:val="00BD02A0"/>
    <w:rsid w:val="00BD0C24"/>
    <w:rsid w:val="00BD1419"/>
    <w:rsid w:val="00BD1659"/>
    <w:rsid w:val="00BD1C7C"/>
    <w:rsid w:val="00BD3112"/>
    <w:rsid w:val="00BD3BAA"/>
    <w:rsid w:val="00BD3C33"/>
    <w:rsid w:val="00BD55AB"/>
    <w:rsid w:val="00BD57D1"/>
    <w:rsid w:val="00BD5D91"/>
    <w:rsid w:val="00BD5EFC"/>
    <w:rsid w:val="00BD6429"/>
    <w:rsid w:val="00BD6A7F"/>
    <w:rsid w:val="00BD6DF6"/>
    <w:rsid w:val="00BD78DC"/>
    <w:rsid w:val="00BD7E38"/>
    <w:rsid w:val="00BE02F8"/>
    <w:rsid w:val="00BE0C2E"/>
    <w:rsid w:val="00BE0C62"/>
    <w:rsid w:val="00BE1FAC"/>
    <w:rsid w:val="00BE206B"/>
    <w:rsid w:val="00BE2E53"/>
    <w:rsid w:val="00BE30B7"/>
    <w:rsid w:val="00BE34D3"/>
    <w:rsid w:val="00BE3E9C"/>
    <w:rsid w:val="00BE4FEB"/>
    <w:rsid w:val="00BE64C6"/>
    <w:rsid w:val="00BE6848"/>
    <w:rsid w:val="00BE6965"/>
    <w:rsid w:val="00BE7150"/>
    <w:rsid w:val="00BE7204"/>
    <w:rsid w:val="00BE781C"/>
    <w:rsid w:val="00BF1110"/>
    <w:rsid w:val="00BF122A"/>
    <w:rsid w:val="00BF2553"/>
    <w:rsid w:val="00BF2832"/>
    <w:rsid w:val="00BF30E6"/>
    <w:rsid w:val="00BF3397"/>
    <w:rsid w:val="00BF47AD"/>
    <w:rsid w:val="00BF63A2"/>
    <w:rsid w:val="00BF6526"/>
    <w:rsid w:val="00BF7A43"/>
    <w:rsid w:val="00BF7E09"/>
    <w:rsid w:val="00C00521"/>
    <w:rsid w:val="00C00C2F"/>
    <w:rsid w:val="00C02141"/>
    <w:rsid w:val="00C0273E"/>
    <w:rsid w:val="00C02775"/>
    <w:rsid w:val="00C02AEC"/>
    <w:rsid w:val="00C02CB9"/>
    <w:rsid w:val="00C038B1"/>
    <w:rsid w:val="00C038B6"/>
    <w:rsid w:val="00C03B70"/>
    <w:rsid w:val="00C04042"/>
    <w:rsid w:val="00C04143"/>
    <w:rsid w:val="00C043E5"/>
    <w:rsid w:val="00C04D39"/>
    <w:rsid w:val="00C05112"/>
    <w:rsid w:val="00C056D6"/>
    <w:rsid w:val="00C05AEA"/>
    <w:rsid w:val="00C05B9D"/>
    <w:rsid w:val="00C06C0B"/>
    <w:rsid w:val="00C10135"/>
    <w:rsid w:val="00C10668"/>
    <w:rsid w:val="00C10FD0"/>
    <w:rsid w:val="00C11062"/>
    <w:rsid w:val="00C12424"/>
    <w:rsid w:val="00C126EE"/>
    <w:rsid w:val="00C12EBC"/>
    <w:rsid w:val="00C133AB"/>
    <w:rsid w:val="00C13624"/>
    <w:rsid w:val="00C13AE1"/>
    <w:rsid w:val="00C13BE2"/>
    <w:rsid w:val="00C13CDE"/>
    <w:rsid w:val="00C140D8"/>
    <w:rsid w:val="00C14672"/>
    <w:rsid w:val="00C1495A"/>
    <w:rsid w:val="00C14D25"/>
    <w:rsid w:val="00C15210"/>
    <w:rsid w:val="00C15763"/>
    <w:rsid w:val="00C1617B"/>
    <w:rsid w:val="00C16283"/>
    <w:rsid w:val="00C16E02"/>
    <w:rsid w:val="00C21DEB"/>
    <w:rsid w:val="00C2216F"/>
    <w:rsid w:val="00C23A76"/>
    <w:rsid w:val="00C23D27"/>
    <w:rsid w:val="00C23E6B"/>
    <w:rsid w:val="00C246B6"/>
    <w:rsid w:val="00C24795"/>
    <w:rsid w:val="00C24D4B"/>
    <w:rsid w:val="00C24E79"/>
    <w:rsid w:val="00C24E89"/>
    <w:rsid w:val="00C24FD2"/>
    <w:rsid w:val="00C2607F"/>
    <w:rsid w:val="00C26100"/>
    <w:rsid w:val="00C265B1"/>
    <w:rsid w:val="00C26F4B"/>
    <w:rsid w:val="00C27076"/>
    <w:rsid w:val="00C2736D"/>
    <w:rsid w:val="00C27699"/>
    <w:rsid w:val="00C316E9"/>
    <w:rsid w:val="00C31CF8"/>
    <w:rsid w:val="00C3291A"/>
    <w:rsid w:val="00C329FE"/>
    <w:rsid w:val="00C32A0D"/>
    <w:rsid w:val="00C32A3B"/>
    <w:rsid w:val="00C32A9C"/>
    <w:rsid w:val="00C32B3A"/>
    <w:rsid w:val="00C33203"/>
    <w:rsid w:val="00C348C5"/>
    <w:rsid w:val="00C34987"/>
    <w:rsid w:val="00C34D6A"/>
    <w:rsid w:val="00C35D38"/>
    <w:rsid w:val="00C36A31"/>
    <w:rsid w:val="00C36E1F"/>
    <w:rsid w:val="00C37617"/>
    <w:rsid w:val="00C377A1"/>
    <w:rsid w:val="00C37F34"/>
    <w:rsid w:val="00C40156"/>
    <w:rsid w:val="00C40C20"/>
    <w:rsid w:val="00C40E92"/>
    <w:rsid w:val="00C41A98"/>
    <w:rsid w:val="00C42339"/>
    <w:rsid w:val="00C425B8"/>
    <w:rsid w:val="00C42D79"/>
    <w:rsid w:val="00C42E9A"/>
    <w:rsid w:val="00C44145"/>
    <w:rsid w:val="00C4452D"/>
    <w:rsid w:val="00C44F32"/>
    <w:rsid w:val="00C4511A"/>
    <w:rsid w:val="00C46C5C"/>
    <w:rsid w:val="00C47536"/>
    <w:rsid w:val="00C47D7E"/>
    <w:rsid w:val="00C502CD"/>
    <w:rsid w:val="00C511EA"/>
    <w:rsid w:val="00C51396"/>
    <w:rsid w:val="00C52449"/>
    <w:rsid w:val="00C52878"/>
    <w:rsid w:val="00C530BF"/>
    <w:rsid w:val="00C53230"/>
    <w:rsid w:val="00C53473"/>
    <w:rsid w:val="00C5388D"/>
    <w:rsid w:val="00C551A2"/>
    <w:rsid w:val="00C55E90"/>
    <w:rsid w:val="00C55E9A"/>
    <w:rsid w:val="00C56317"/>
    <w:rsid w:val="00C5634F"/>
    <w:rsid w:val="00C56AE5"/>
    <w:rsid w:val="00C56EB7"/>
    <w:rsid w:val="00C570D3"/>
    <w:rsid w:val="00C5732A"/>
    <w:rsid w:val="00C575AA"/>
    <w:rsid w:val="00C57D1D"/>
    <w:rsid w:val="00C604A0"/>
    <w:rsid w:val="00C608D0"/>
    <w:rsid w:val="00C60EC4"/>
    <w:rsid w:val="00C62609"/>
    <w:rsid w:val="00C6296E"/>
    <w:rsid w:val="00C6413A"/>
    <w:rsid w:val="00C64CC5"/>
    <w:rsid w:val="00C65CFE"/>
    <w:rsid w:val="00C65E9B"/>
    <w:rsid w:val="00C666BA"/>
    <w:rsid w:val="00C666F5"/>
    <w:rsid w:val="00C66814"/>
    <w:rsid w:val="00C66D50"/>
    <w:rsid w:val="00C67249"/>
    <w:rsid w:val="00C67A2B"/>
    <w:rsid w:val="00C7004A"/>
    <w:rsid w:val="00C7108F"/>
    <w:rsid w:val="00C7139B"/>
    <w:rsid w:val="00C71619"/>
    <w:rsid w:val="00C717EC"/>
    <w:rsid w:val="00C71B05"/>
    <w:rsid w:val="00C71F39"/>
    <w:rsid w:val="00C71F50"/>
    <w:rsid w:val="00C7246E"/>
    <w:rsid w:val="00C7297B"/>
    <w:rsid w:val="00C73243"/>
    <w:rsid w:val="00C73798"/>
    <w:rsid w:val="00C7387A"/>
    <w:rsid w:val="00C739E1"/>
    <w:rsid w:val="00C73E6E"/>
    <w:rsid w:val="00C7529C"/>
    <w:rsid w:val="00C7540F"/>
    <w:rsid w:val="00C75828"/>
    <w:rsid w:val="00C7735E"/>
    <w:rsid w:val="00C77EC6"/>
    <w:rsid w:val="00C77F05"/>
    <w:rsid w:val="00C80BCC"/>
    <w:rsid w:val="00C80FB3"/>
    <w:rsid w:val="00C82133"/>
    <w:rsid w:val="00C82439"/>
    <w:rsid w:val="00C82A25"/>
    <w:rsid w:val="00C83B2A"/>
    <w:rsid w:val="00C842DA"/>
    <w:rsid w:val="00C84357"/>
    <w:rsid w:val="00C846CD"/>
    <w:rsid w:val="00C856DF"/>
    <w:rsid w:val="00C85F3F"/>
    <w:rsid w:val="00C8622A"/>
    <w:rsid w:val="00C86601"/>
    <w:rsid w:val="00C86A4D"/>
    <w:rsid w:val="00C87090"/>
    <w:rsid w:val="00C87658"/>
    <w:rsid w:val="00C8785C"/>
    <w:rsid w:val="00C911C9"/>
    <w:rsid w:val="00C911CF"/>
    <w:rsid w:val="00C916E2"/>
    <w:rsid w:val="00C91B38"/>
    <w:rsid w:val="00C91E78"/>
    <w:rsid w:val="00C926AF"/>
    <w:rsid w:val="00C92B6E"/>
    <w:rsid w:val="00C9307B"/>
    <w:rsid w:val="00C93A0D"/>
    <w:rsid w:val="00C93FFE"/>
    <w:rsid w:val="00C947E2"/>
    <w:rsid w:val="00C94B88"/>
    <w:rsid w:val="00C94C6B"/>
    <w:rsid w:val="00C95BBF"/>
    <w:rsid w:val="00C96BBC"/>
    <w:rsid w:val="00C96BD2"/>
    <w:rsid w:val="00C97403"/>
    <w:rsid w:val="00C97701"/>
    <w:rsid w:val="00CA05ED"/>
    <w:rsid w:val="00CA1BB1"/>
    <w:rsid w:val="00CA2116"/>
    <w:rsid w:val="00CA2381"/>
    <w:rsid w:val="00CA283B"/>
    <w:rsid w:val="00CA3223"/>
    <w:rsid w:val="00CA3C82"/>
    <w:rsid w:val="00CA6354"/>
    <w:rsid w:val="00CA7612"/>
    <w:rsid w:val="00CA7886"/>
    <w:rsid w:val="00CA797F"/>
    <w:rsid w:val="00CA7B95"/>
    <w:rsid w:val="00CA7BC3"/>
    <w:rsid w:val="00CA7BE5"/>
    <w:rsid w:val="00CA7CE2"/>
    <w:rsid w:val="00CB1325"/>
    <w:rsid w:val="00CB16E4"/>
    <w:rsid w:val="00CB206B"/>
    <w:rsid w:val="00CB26DC"/>
    <w:rsid w:val="00CB26F0"/>
    <w:rsid w:val="00CB275E"/>
    <w:rsid w:val="00CB288E"/>
    <w:rsid w:val="00CB2F6F"/>
    <w:rsid w:val="00CB3220"/>
    <w:rsid w:val="00CB3BAD"/>
    <w:rsid w:val="00CB3DCC"/>
    <w:rsid w:val="00CB4EDF"/>
    <w:rsid w:val="00CB5053"/>
    <w:rsid w:val="00CB57BC"/>
    <w:rsid w:val="00CB6962"/>
    <w:rsid w:val="00CB69FF"/>
    <w:rsid w:val="00CB70D0"/>
    <w:rsid w:val="00CB7203"/>
    <w:rsid w:val="00CB73EA"/>
    <w:rsid w:val="00CB7A55"/>
    <w:rsid w:val="00CC0266"/>
    <w:rsid w:val="00CC28CF"/>
    <w:rsid w:val="00CC29FC"/>
    <w:rsid w:val="00CC2B8A"/>
    <w:rsid w:val="00CC3289"/>
    <w:rsid w:val="00CC3C46"/>
    <w:rsid w:val="00CC4356"/>
    <w:rsid w:val="00CC496B"/>
    <w:rsid w:val="00CC4BF1"/>
    <w:rsid w:val="00CC54C8"/>
    <w:rsid w:val="00CC5B8C"/>
    <w:rsid w:val="00CC604F"/>
    <w:rsid w:val="00CC64A9"/>
    <w:rsid w:val="00CC7995"/>
    <w:rsid w:val="00CD07A3"/>
    <w:rsid w:val="00CD0CF8"/>
    <w:rsid w:val="00CD0F9E"/>
    <w:rsid w:val="00CD1198"/>
    <w:rsid w:val="00CD2187"/>
    <w:rsid w:val="00CD2351"/>
    <w:rsid w:val="00CD2EF7"/>
    <w:rsid w:val="00CD47C1"/>
    <w:rsid w:val="00CD4868"/>
    <w:rsid w:val="00CD4A37"/>
    <w:rsid w:val="00CD4ACC"/>
    <w:rsid w:val="00CD52A3"/>
    <w:rsid w:val="00CD5350"/>
    <w:rsid w:val="00CD63D3"/>
    <w:rsid w:val="00CD7B28"/>
    <w:rsid w:val="00CE0207"/>
    <w:rsid w:val="00CE04B4"/>
    <w:rsid w:val="00CE0BDF"/>
    <w:rsid w:val="00CE21BF"/>
    <w:rsid w:val="00CE29FC"/>
    <w:rsid w:val="00CE31C1"/>
    <w:rsid w:val="00CE3CEC"/>
    <w:rsid w:val="00CE4A0D"/>
    <w:rsid w:val="00CE4F5D"/>
    <w:rsid w:val="00CE51CC"/>
    <w:rsid w:val="00CE523E"/>
    <w:rsid w:val="00CE550B"/>
    <w:rsid w:val="00CE55A8"/>
    <w:rsid w:val="00CE6507"/>
    <w:rsid w:val="00CE79DB"/>
    <w:rsid w:val="00CF0665"/>
    <w:rsid w:val="00CF0D8A"/>
    <w:rsid w:val="00CF1B37"/>
    <w:rsid w:val="00CF26DE"/>
    <w:rsid w:val="00CF279C"/>
    <w:rsid w:val="00CF3CD5"/>
    <w:rsid w:val="00CF4120"/>
    <w:rsid w:val="00CF4CE3"/>
    <w:rsid w:val="00CF59FB"/>
    <w:rsid w:val="00CF65FC"/>
    <w:rsid w:val="00CF6848"/>
    <w:rsid w:val="00CF6902"/>
    <w:rsid w:val="00CF6968"/>
    <w:rsid w:val="00CF7D4C"/>
    <w:rsid w:val="00D00102"/>
    <w:rsid w:val="00D0079F"/>
    <w:rsid w:val="00D00E32"/>
    <w:rsid w:val="00D01760"/>
    <w:rsid w:val="00D02C4C"/>
    <w:rsid w:val="00D0392D"/>
    <w:rsid w:val="00D03AE6"/>
    <w:rsid w:val="00D04380"/>
    <w:rsid w:val="00D0442C"/>
    <w:rsid w:val="00D04A84"/>
    <w:rsid w:val="00D04EC8"/>
    <w:rsid w:val="00D05025"/>
    <w:rsid w:val="00D05D12"/>
    <w:rsid w:val="00D06F7F"/>
    <w:rsid w:val="00D079BB"/>
    <w:rsid w:val="00D07A70"/>
    <w:rsid w:val="00D07CD0"/>
    <w:rsid w:val="00D104DE"/>
    <w:rsid w:val="00D10D9D"/>
    <w:rsid w:val="00D1145D"/>
    <w:rsid w:val="00D119EC"/>
    <w:rsid w:val="00D12A24"/>
    <w:rsid w:val="00D136EA"/>
    <w:rsid w:val="00D13B6E"/>
    <w:rsid w:val="00D15968"/>
    <w:rsid w:val="00D15B86"/>
    <w:rsid w:val="00D16462"/>
    <w:rsid w:val="00D165DF"/>
    <w:rsid w:val="00D1699E"/>
    <w:rsid w:val="00D176ED"/>
    <w:rsid w:val="00D17760"/>
    <w:rsid w:val="00D20059"/>
    <w:rsid w:val="00D200CE"/>
    <w:rsid w:val="00D20F9A"/>
    <w:rsid w:val="00D20FA2"/>
    <w:rsid w:val="00D22325"/>
    <w:rsid w:val="00D24AB3"/>
    <w:rsid w:val="00D25106"/>
    <w:rsid w:val="00D2536F"/>
    <w:rsid w:val="00D2590D"/>
    <w:rsid w:val="00D25F3A"/>
    <w:rsid w:val="00D26918"/>
    <w:rsid w:val="00D269DF"/>
    <w:rsid w:val="00D275CB"/>
    <w:rsid w:val="00D30041"/>
    <w:rsid w:val="00D30C80"/>
    <w:rsid w:val="00D30F3A"/>
    <w:rsid w:val="00D30F5E"/>
    <w:rsid w:val="00D314EB"/>
    <w:rsid w:val="00D31E01"/>
    <w:rsid w:val="00D320A2"/>
    <w:rsid w:val="00D32709"/>
    <w:rsid w:val="00D3439D"/>
    <w:rsid w:val="00D345AB"/>
    <w:rsid w:val="00D35380"/>
    <w:rsid w:val="00D36C07"/>
    <w:rsid w:val="00D3786D"/>
    <w:rsid w:val="00D41814"/>
    <w:rsid w:val="00D41F24"/>
    <w:rsid w:val="00D420BD"/>
    <w:rsid w:val="00D42135"/>
    <w:rsid w:val="00D428DD"/>
    <w:rsid w:val="00D449D0"/>
    <w:rsid w:val="00D45CE7"/>
    <w:rsid w:val="00D466FC"/>
    <w:rsid w:val="00D46903"/>
    <w:rsid w:val="00D46C31"/>
    <w:rsid w:val="00D46DAA"/>
    <w:rsid w:val="00D46EA8"/>
    <w:rsid w:val="00D46FD3"/>
    <w:rsid w:val="00D478A4"/>
    <w:rsid w:val="00D47B1D"/>
    <w:rsid w:val="00D47EBC"/>
    <w:rsid w:val="00D500E1"/>
    <w:rsid w:val="00D502E5"/>
    <w:rsid w:val="00D510D5"/>
    <w:rsid w:val="00D51109"/>
    <w:rsid w:val="00D51F8A"/>
    <w:rsid w:val="00D53043"/>
    <w:rsid w:val="00D53083"/>
    <w:rsid w:val="00D533E4"/>
    <w:rsid w:val="00D539C0"/>
    <w:rsid w:val="00D53F56"/>
    <w:rsid w:val="00D54C0C"/>
    <w:rsid w:val="00D5576B"/>
    <w:rsid w:val="00D558DB"/>
    <w:rsid w:val="00D55F4B"/>
    <w:rsid w:val="00D561BD"/>
    <w:rsid w:val="00D56EB3"/>
    <w:rsid w:val="00D574A7"/>
    <w:rsid w:val="00D57A4A"/>
    <w:rsid w:val="00D57A76"/>
    <w:rsid w:val="00D57F88"/>
    <w:rsid w:val="00D60658"/>
    <w:rsid w:val="00D61008"/>
    <w:rsid w:val="00D6159E"/>
    <w:rsid w:val="00D61C56"/>
    <w:rsid w:val="00D636F3"/>
    <w:rsid w:val="00D637CF"/>
    <w:rsid w:val="00D64315"/>
    <w:rsid w:val="00D6480D"/>
    <w:rsid w:val="00D6550F"/>
    <w:rsid w:val="00D656F0"/>
    <w:rsid w:val="00D658A4"/>
    <w:rsid w:val="00D661C6"/>
    <w:rsid w:val="00D666BF"/>
    <w:rsid w:val="00D6685C"/>
    <w:rsid w:val="00D669A0"/>
    <w:rsid w:val="00D670FB"/>
    <w:rsid w:val="00D6737A"/>
    <w:rsid w:val="00D6746D"/>
    <w:rsid w:val="00D6771B"/>
    <w:rsid w:val="00D67985"/>
    <w:rsid w:val="00D67D29"/>
    <w:rsid w:val="00D67F48"/>
    <w:rsid w:val="00D712BA"/>
    <w:rsid w:val="00D7154D"/>
    <w:rsid w:val="00D72564"/>
    <w:rsid w:val="00D7382D"/>
    <w:rsid w:val="00D75A60"/>
    <w:rsid w:val="00D76C76"/>
    <w:rsid w:val="00D77D74"/>
    <w:rsid w:val="00D80750"/>
    <w:rsid w:val="00D822A9"/>
    <w:rsid w:val="00D8233D"/>
    <w:rsid w:val="00D828D4"/>
    <w:rsid w:val="00D840B5"/>
    <w:rsid w:val="00D8439E"/>
    <w:rsid w:val="00D84500"/>
    <w:rsid w:val="00D84C39"/>
    <w:rsid w:val="00D85A3E"/>
    <w:rsid w:val="00D85D26"/>
    <w:rsid w:val="00D86D81"/>
    <w:rsid w:val="00D875D8"/>
    <w:rsid w:val="00D901EB"/>
    <w:rsid w:val="00D903BC"/>
    <w:rsid w:val="00D904B7"/>
    <w:rsid w:val="00D9104E"/>
    <w:rsid w:val="00D917FA"/>
    <w:rsid w:val="00D91C92"/>
    <w:rsid w:val="00D925A8"/>
    <w:rsid w:val="00D929A5"/>
    <w:rsid w:val="00D92CFF"/>
    <w:rsid w:val="00D92EE1"/>
    <w:rsid w:val="00D93560"/>
    <w:rsid w:val="00D93764"/>
    <w:rsid w:val="00D943A2"/>
    <w:rsid w:val="00D94B4D"/>
    <w:rsid w:val="00D950FC"/>
    <w:rsid w:val="00D97DE5"/>
    <w:rsid w:val="00DA1292"/>
    <w:rsid w:val="00DA1C84"/>
    <w:rsid w:val="00DA2514"/>
    <w:rsid w:val="00DA355A"/>
    <w:rsid w:val="00DA4620"/>
    <w:rsid w:val="00DA47C9"/>
    <w:rsid w:val="00DA5333"/>
    <w:rsid w:val="00DA53EA"/>
    <w:rsid w:val="00DA55CC"/>
    <w:rsid w:val="00DA64A5"/>
    <w:rsid w:val="00DA65C7"/>
    <w:rsid w:val="00DA6814"/>
    <w:rsid w:val="00DA74F1"/>
    <w:rsid w:val="00DA7699"/>
    <w:rsid w:val="00DA7D43"/>
    <w:rsid w:val="00DB11B5"/>
    <w:rsid w:val="00DB1DC1"/>
    <w:rsid w:val="00DB386F"/>
    <w:rsid w:val="00DB48AC"/>
    <w:rsid w:val="00DB4E36"/>
    <w:rsid w:val="00DB54B0"/>
    <w:rsid w:val="00DB55F2"/>
    <w:rsid w:val="00DB5E61"/>
    <w:rsid w:val="00DB60DD"/>
    <w:rsid w:val="00DB734C"/>
    <w:rsid w:val="00DC053E"/>
    <w:rsid w:val="00DC0809"/>
    <w:rsid w:val="00DC13DA"/>
    <w:rsid w:val="00DC14B6"/>
    <w:rsid w:val="00DC1500"/>
    <w:rsid w:val="00DC17AB"/>
    <w:rsid w:val="00DC2E38"/>
    <w:rsid w:val="00DC3323"/>
    <w:rsid w:val="00DC3D85"/>
    <w:rsid w:val="00DC47FE"/>
    <w:rsid w:val="00DC4A9B"/>
    <w:rsid w:val="00DC4D45"/>
    <w:rsid w:val="00DC5BCE"/>
    <w:rsid w:val="00DC6082"/>
    <w:rsid w:val="00DC6947"/>
    <w:rsid w:val="00DC711F"/>
    <w:rsid w:val="00DC728A"/>
    <w:rsid w:val="00DD0A3B"/>
    <w:rsid w:val="00DD0A45"/>
    <w:rsid w:val="00DD10F0"/>
    <w:rsid w:val="00DD27FC"/>
    <w:rsid w:val="00DD2861"/>
    <w:rsid w:val="00DD3821"/>
    <w:rsid w:val="00DD3A94"/>
    <w:rsid w:val="00DD3A9C"/>
    <w:rsid w:val="00DD3D33"/>
    <w:rsid w:val="00DD433F"/>
    <w:rsid w:val="00DD460C"/>
    <w:rsid w:val="00DD463A"/>
    <w:rsid w:val="00DD490A"/>
    <w:rsid w:val="00DD49A7"/>
    <w:rsid w:val="00DD4A59"/>
    <w:rsid w:val="00DD4DA1"/>
    <w:rsid w:val="00DD4F09"/>
    <w:rsid w:val="00DD50B3"/>
    <w:rsid w:val="00DD5381"/>
    <w:rsid w:val="00DD5545"/>
    <w:rsid w:val="00DD5753"/>
    <w:rsid w:val="00DD5D30"/>
    <w:rsid w:val="00DD6151"/>
    <w:rsid w:val="00DD616D"/>
    <w:rsid w:val="00DD6A6A"/>
    <w:rsid w:val="00DD74D2"/>
    <w:rsid w:val="00DD7E12"/>
    <w:rsid w:val="00DE0073"/>
    <w:rsid w:val="00DE05CA"/>
    <w:rsid w:val="00DE0917"/>
    <w:rsid w:val="00DE0C00"/>
    <w:rsid w:val="00DE0D66"/>
    <w:rsid w:val="00DE0F6D"/>
    <w:rsid w:val="00DE13A0"/>
    <w:rsid w:val="00DE1A82"/>
    <w:rsid w:val="00DE1AB9"/>
    <w:rsid w:val="00DE24AB"/>
    <w:rsid w:val="00DE26EC"/>
    <w:rsid w:val="00DE28B1"/>
    <w:rsid w:val="00DE2CAE"/>
    <w:rsid w:val="00DE2FCC"/>
    <w:rsid w:val="00DE388A"/>
    <w:rsid w:val="00DE402B"/>
    <w:rsid w:val="00DE58BF"/>
    <w:rsid w:val="00DE6173"/>
    <w:rsid w:val="00DE6D72"/>
    <w:rsid w:val="00DE7287"/>
    <w:rsid w:val="00DE7F97"/>
    <w:rsid w:val="00DF00F9"/>
    <w:rsid w:val="00DF050B"/>
    <w:rsid w:val="00DF061E"/>
    <w:rsid w:val="00DF0CD7"/>
    <w:rsid w:val="00DF0D00"/>
    <w:rsid w:val="00DF0D23"/>
    <w:rsid w:val="00DF1397"/>
    <w:rsid w:val="00DF21A0"/>
    <w:rsid w:val="00DF2270"/>
    <w:rsid w:val="00DF2890"/>
    <w:rsid w:val="00DF3A63"/>
    <w:rsid w:val="00DF41FE"/>
    <w:rsid w:val="00DF44A1"/>
    <w:rsid w:val="00DF4D45"/>
    <w:rsid w:val="00DF52BA"/>
    <w:rsid w:val="00DF5408"/>
    <w:rsid w:val="00DF5810"/>
    <w:rsid w:val="00DF5E82"/>
    <w:rsid w:val="00DF6661"/>
    <w:rsid w:val="00DF788F"/>
    <w:rsid w:val="00DF7A66"/>
    <w:rsid w:val="00DF7D44"/>
    <w:rsid w:val="00DF7FCE"/>
    <w:rsid w:val="00E019F2"/>
    <w:rsid w:val="00E01F8D"/>
    <w:rsid w:val="00E02456"/>
    <w:rsid w:val="00E0256A"/>
    <w:rsid w:val="00E031B1"/>
    <w:rsid w:val="00E033CF"/>
    <w:rsid w:val="00E0387A"/>
    <w:rsid w:val="00E03B7A"/>
    <w:rsid w:val="00E04114"/>
    <w:rsid w:val="00E044AB"/>
    <w:rsid w:val="00E04DB5"/>
    <w:rsid w:val="00E04E29"/>
    <w:rsid w:val="00E05342"/>
    <w:rsid w:val="00E0554F"/>
    <w:rsid w:val="00E05BBF"/>
    <w:rsid w:val="00E06214"/>
    <w:rsid w:val="00E063E4"/>
    <w:rsid w:val="00E06A25"/>
    <w:rsid w:val="00E06A91"/>
    <w:rsid w:val="00E06AD1"/>
    <w:rsid w:val="00E06D3E"/>
    <w:rsid w:val="00E0724F"/>
    <w:rsid w:val="00E0741E"/>
    <w:rsid w:val="00E074FD"/>
    <w:rsid w:val="00E07572"/>
    <w:rsid w:val="00E11C25"/>
    <w:rsid w:val="00E12475"/>
    <w:rsid w:val="00E128B2"/>
    <w:rsid w:val="00E1325F"/>
    <w:rsid w:val="00E139F8"/>
    <w:rsid w:val="00E1482D"/>
    <w:rsid w:val="00E14E5C"/>
    <w:rsid w:val="00E14E61"/>
    <w:rsid w:val="00E14FAB"/>
    <w:rsid w:val="00E15BA4"/>
    <w:rsid w:val="00E16AB6"/>
    <w:rsid w:val="00E16C8F"/>
    <w:rsid w:val="00E1703F"/>
    <w:rsid w:val="00E175FC"/>
    <w:rsid w:val="00E177EC"/>
    <w:rsid w:val="00E17DB5"/>
    <w:rsid w:val="00E20EEF"/>
    <w:rsid w:val="00E21686"/>
    <w:rsid w:val="00E21A70"/>
    <w:rsid w:val="00E21B78"/>
    <w:rsid w:val="00E21BDD"/>
    <w:rsid w:val="00E21F32"/>
    <w:rsid w:val="00E221EF"/>
    <w:rsid w:val="00E22C37"/>
    <w:rsid w:val="00E23C00"/>
    <w:rsid w:val="00E23C7D"/>
    <w:rsid w:val="00E24291"/>
    <w:rsid w:val="00E246AE"/>
    <w:rsid w:val="00E24ADE"/>
    <w:rsid w:val="00E25076"/>
    <w:rsid w:val="00E25596"/>
    <w:rsid w:val="00E25925"/>
    <w:rsid w:val="00E25F65"/>
    <w:rsid w:val="00E25FBF"/>
    <w:rsid w:val="00E26164"/>
    <w:rsid w:val="00E26220"/>
    <w:rsid w:val="00E26B38"/>
    <w:rsid w:val="00E27199"/>
    <w:rsid w:val="00E27C81"/>
    <w:rsid w:val="00E324FD"/>
    <w:rsid w:val="00E330D9"/>
    <w:rsid w:val="00E34D70"/>
    <w:rsid w:val="00E34E1B"/>
    <w:rsid w:val="00E35241"/>
    <w:rsid w:val="00E36B19"/>
    <w:rsid w:val="00E36D14"/>
    <w:rsid w:val="00E37F2A"/>
    <w:rsid w:val="00E403C2"/>
    <w:rsid w:val="00E40625"/>
    <w:rsid w:val="00E40A88"/>
    <w:rsid w:val="00E40C49"/>
    <w:rsid w:val="00E40F15"/>
    <w:rsid w:val="00E4134D"/>
    <w:rsid w:val="00E41C0A"/>
    <w:rsid w:val="00E4237B"/>
    <w:rsid w:val="00E42FF9"/>
    <w:rsid w:val="00E43459"/>
    <w:rsid w:val="00E43977"/>
    <w:rsid w:val="00E43B5D"/>
    <w:rsid w:val="00E43D8A"/>
    <w:rsid w:val="00E440B2"/>
    <w:rsid w:val="00E44AEA"/>
    <w:rsid w:val="00E468DC"/>
    <w:rsid w:val="00E46AC0"/>
    <w:rsid w:val="00E47718"/>
    <w:rsid w:val="00E47EBA"/>
    <w:rsid w:val="00E50672"/>
    <w:rsid w:val="00E513CC"/>
    <w:rsid w:val="00E5209C"/>
    <w:rsid w:val="00E53145"/>
    <w:rsid w:val="00E55642"/>
    <w:rsid w:val="00E55E33"/>
    <w:rsid w:val="00E568DE"/>
    <w:rsid w:val="00E57E3E"/>
    <w:rsid w:val="00E60A1A"/>
    <w:rsid w:val="00E6144B"/>
    <w:rsid w:val="00E62B5C"/>
    <w:rsid w:val="00E639EB"/>
    <w:rsid w:val="00E63B75"/>
    <w:rsid w:val="00E63F1C"/>
    <w:rsid w:val="00E64773"/>
    <w:rsid w:val="00E64DDC"/>
    <w:rsid w:val="00E650AC"/>
    <w:rsid w:val="00E65530"/>
    <w:rsid w:val="00E6558F"/>
    <w:rsid w:val="00E65D3E"/>
    <w:rsid w:val="00E665A2"/>
    <w:rsid w:val="00E6665A"/>
    <w:rsid w:val="00E66D96"/>
    <w:rsid w:val="00E66D9F"/>
    <w:rsid w:val="00E66FA0"/>
    <w:rsid w:val="00E67836"/>
    <w:rsid w:val="00E67C2F"/>
    <w:rsid w:val="00E705A7"/>
    <w:rsid w:val="00E7095F"/>
    <w:rsid w:val="00E709D1"/>
    <w:rsid w:val="00E71178"/>
    <w:rsid w:val="00E7281B"/>
    <w:rsid w:val="00E73947"/>
    <w:rsid w:val="00E7411E"/>
    <w:rsid w:val="00E75314"/>
    <w:rsid w:val="00E75328"/>
    <w:rsid w:val="00E75C8D"/>
    <w:rsid w:val="00E75E65"/>
    <w:rsid w:val="00E764E3"/>
    <w:rsid w:val="00E7674B"/>
    <w:rsid w:val="00E77545"/>
    <w:rsid w:val="00E77776"/>
    <w:rsid w:val="00E777F3"/>
    <w:rsid w:val="00E77E8D"/>
    <w:rsid w:val="00E8092A"/>
    <w:rsid w:val="00E80CF3"/>
    <w:rsid w:val="00E80F01"/>
    <w:rsid w:val="00E82356"/>
    <w:rsid w:val="00E82772"/>
    <w:rsid w:val="00E83DE6"/>
    <w:rsid w:val="00E843EE"/>
    <w:rsid w:val="00E846D6"/>
    <w:rsid w:val="00E84888"/>
    <w:rsid w:val="00E84BCC"/>
    <w:rsid w:val="00E84C6D"/>
    <w:rsid w:val="00E851D9"/>
    <w:rsid w:val="00E85996"/>
    <w:rsid w:val="00E85F1C"/>
    <w:rsid w:val="00E8624D"/>
    <w:rsid w:val="00E8630E"/>
    <w:rsid w:val="00E864D3"/>
    <w:rsid w:val="00E868B7"/>
    <w:rsid w:val="00E876C4"/>
    <w:rsid w:val="00E91AC4"/>
    <w:rsid w:val="00E91B94"/>
    <w:rsid w:val="00E92566"/>
    <w:rsid w:val="00E92747"/>
    <w:rsid w:val="00E92986"/>
    <w:rsid w:val="00E92AAD"/>
    <w:rsid w:val="00E94231"/>
    <w:rsid w:val="00E949C8"/>
    <w:rsid w:val="00E94B37"/>
    <w:rsid w:val="00E951BA"/>
    <w:rsid w:val="00E95CD9"/>
    <w:rsid w:val="00E960CC"/>
    <w:rsid w:val="00E964FB"/>
    <w:rsid w:val="00E971D3"/>
    <w:rsid w:val="00E97796"/>
    <w:rsid w:val="00EA0CBF"/>
    <w:rsid w:val="00EA101D"/>
    <w:rsid w:val="00EA1A09"/>
    <w:rsid w:val="00EA2F23"/>
    <w:rsid w:val="00EA3F0D"/>
    <w:rsid w:val="00EA3FD4"/>
    <w:rsid w:val="00EA409B"/>
    <w:rsid w:val="00EA41A0"/>
    <w:rsid w:val="00EA48AF"/>
    <w:rsid w:val="00EA6091"/>
    <w:rsid w:val="00EA641F"/>
    <w:rsid w:val="00EA6676"/>
    <w:rsid w:val="00EA66C2"/>
    <w:rsid w:val="00EA7C60"/>
    <w:rsid w:val="00EB16ED"/>
    <w:rsid w:val="00EB1932"/>
    <w:rsid w:val="00EB2876"/>
    <w:rsid w:val="00EB2A4F"/>
    <w:rsid w:val="00EB3575"/>
    <w:rsid w:val="00EB3AA0"/>
    <w:rsid w:val="00EB3D5A"/>
    <w:rsid w:val="00EB4E2B"/>
    <w:rsid w:val="00EB4EC7"/>
    <w:rsid w:val="00EB54F4"/>
    <w:rsid w:val="00EB563A"/>
    <w:rsid w:val="00EB676E"/>
    <w:rsid w:val="00EB6A66"/>
    <w:rsid w:val="00EB7485"/>
    <w:rsid w:val="00EB7A35"/>
    <w:rsid w:val="00EC0591"/>
    <w:rsid w:val="00EC144E"/>
    <w:rsid w:val="00EC14D5"/>
    <w:rsid w:val="00EC173B"/>
    <w:rsid w:val="00EC1C48"/>
    <w:rsid w:val="00EC1D77"/>
    <w:rsid w:val="00EC2075"/>
    <w:rsid w:val="00EC2842"/>
    <w:rsid w:val="00EC2E2D"/>
    <w:rsid w:val="00EC41F1"/>
    <w:rsid w:val="00EC4FCE"/>
    <w:rsid w:val="00EC5EE9"/>
    <w:rsid w:val="00EC61BB"/>
    <w:rsid w:val="00EC64F8"/>
    <w:rsid w:val="00EC6A62"/>
    <w:rsid w:val="00EC6B28"/>
    <w:rsid w:val="00EC6B3B"/>
    <w:rsid w:val="00EC7393"/>
    <w:rsid w:val="00EC7956"/>
    <w:rsid w:val="00EC7D2C"/>
    <w:rsid w:val="00ED0F64"/>
    <w:rsid w:val="00ED16AC"/>
    <w:rsid w:val="00ED1D07"/>
    <w:rsid w:val="00ED218A"/>
    <w:rsid w:val="00ED2EDC"/>
    <w:rsid w:val="00ED3342"/>
    <w:rsid w:val="00ED338D"/>
    <w:rsid w:val="00ED414B"/>
    <w:rsid w:val="00ED63F6"/>
    <w:rsid w:val="00ED66BC"/>
    <w:rsid w:val="00ED6BD5"/>
    <w:rsid w:val="00ED6D94"/>
    <w:rsid w:val="00ED70C0"/>
    <w:rsid w:val="00ED745F"/>
    <w:rsid w:val="00ED76F7"/>
    <w:rsid w:val="00EE0074"/>
    <w:rsid w:val="00EE0655"/>
    <w:rsid w:val="00EE068B"/>
    <w:rsid w:val="00EE06BC"/>
    <w:rsid w:val="00EE1EAF"/>
    <w:rsid w:val="00EE25E5"/>
    <w:rsid w:val="00EE3AD3"/>
    <w:rsid w:val="00EE3D01"/>
    <w:rsid w:val="00EE3EC7"/>
    <w:rsid w:val="00EE4058"/>
    <w:rsid w:val="00EE40CC"/>
    <w:rsid w:val="00EE500A"/>
    <w:rsid w:val="00EE531E"/>
    <w:rsid w:val="00EE55BC"/>
    <w:rsid w:val="00EE56E8"/>
    <w:rsid w:val="00EE6B16"/>
    <w:rsid w:val="00EE75BD"/>
    <w:rsid w:val="00EE7A9D"/>
    <w:rsid w:val="00EE7C04"/>
    <w:rsid w:val="00EF08B5"/>
    <w:rsid w:val="00EF12AE"/>
    <w:rsid w:val="00EF2A20"/>
    <w:rsid w:val="00EF3090"/>
    <w:rsid w:val="00EF35D6"/>
    <w:rsid w:val="00EF37DE"/>
    <w:rsid w:val="00EF4C8F"/>
    <w:rsid w:val="00EF4FC2"/>
    <w:rsid w:val="00EF5023"/>
    <w:rsid w:val="00EF50D2"/>
    <w:rsid w:val="00EF50D7"/>
    <w:rsid w:val="00EF666D"/>
    <w:rsid w:val="00EF6DAE"/>
    <w:rsid w:val="00EF71C2"/>
    <w:rsid w:val="00EF7203"/>
    <w:rsid w:val="00F00829"/>
    <w:rsid w:val="00F02CD5"/>
    <w:rsid w:val="00F030DD"/>
    <w:rsid w:val="00F0312B"/>
    <w:rsid w:val="00F04727"/>
    <w:rsid w:val="00F0500A"/>
    <w:rsid w:val="00F051C5"/>
    <w:rsid w:val="00F06D9F"/>
    <w:rsid w:val="00F0721D"/>
    <w:rsid w:val="00F07986"/>
    <w:rsid w:val="00F12291"/>
    <w:rsid w:val="00F122DF"/>
    <w:rsid w:val="00F12502"/>
    <w:rsid w:val="00F12724"/>
    <w:rsid w:val="00F12946"/>
    <w:rsid w:val="00F13EAE"/>
    <w:rsid w:val="00F143D7"/>
    <w:rsid w:val="00F14AE3"/>
    <w:rsid w:val="00F156B9"/>
    <w:rsid w:val="00F15FB7"/>
    <w:rsid w:val="00F16883"/>
    <w:rsid w:val="00F17F1A"/>
    <w:rsid w:val="00F20C5B"/>
    <w:rsid w:val="00F20F92"/>
    <w:rsid w:val="00F21726"/>
    <w:rsid w:val="00F2406B"/>
    <w:rsid w:val="00F2467E"/>
    <w:rsid w:val="00F248CF"/>
    <w:rsid w:val="00F248D9"/>
    <w:rsid w:val="00F2506B"/>
    <w:rsid w:val="00F2570C"/>
    <w:rsid w:val="00F25F92"/>
    <w:rsid w:val="00F263DB"/>
    <w:rsid w:val="00F2642B"/>
    <w:rsid w:val="00F26562"/>
    <w:rsid w:val="00F26732"/>
    <w:rsid w:val="00F26E41"/>
    <w:rsid w:val="00F277E6"/>
    <w:rsid w:val="00F3133F"/>
    <w:rsid w:val="00F313E6"/>
    <w:rsid w:val="00F31985"/>
    <w:rsid w:val="00F3241C"/>
    <w:rsid w:val="00F32BA0"/>
    <w:rsid w:val="00F33F44"/>
    <w:rsid w:val="00F3403A"/>
    <w:rsid w:val="00F34559"/>
    <w:rsid w:val="00F351CD"/>
    <w:rsid w:val="00F35BC3"/>
    <w:rsid w:val="00F36176"/>
    <w:rsid w:val="00F366D2"/>
    <w:rsid w:val="00F376EA"/>
    <w:rsid w:val="00F40B0F"/>
    <w:rsid w:val="00F41195"/>
    <w:rsid w:val="00F41406"/>
    <w:rsid w:val="00F41541"/>
    <w:rsid w:val="00F4185A"/>
    <w:rsid w:val="00F41C51"/>
    <w:rsid w:val="00F42022"/>
    <w:rsid w:val="00F42239"/>
    <w:rsid w:val="00F440DD"/>
    <w:rsid w:val="00F44418"/>
    <w:rsid w:val="00F4442A"/>
    <w:rsid w:val="00F454CC"/>
    <w:rsid w:val="00F4762E"/>
    <w:rsid w:val="00F47A22"/>
    <w:rsid w:val="00F502B5"/>
    <w:rsid w:val="00F508CD"/>
    <w:rsid w:val="00F50955"/>
    <w:rsid w:val="00F5123A"/>
    <w:rsid w:val="00F51922"/>
    <w:rsid w:val="00F52978"/>
    <w:rsid w:val="00F538D5"/>
    <w:rsid w:val="00F553AF"/>
    <w:rsid w:val="00F568EE"/>
    <w:rsid w:val="00F56EFB"/>
    <w:rsid w:val="00F576CE"/>
    <w:rsid w:val="00F57F3D"/>
    <w:rsid w:val="00F6107C"/>
    <w:rsid w:val="00F6129A"/>
    <w:rsid w:val="00F6144B"/>
    <w:rsid w:val="00F621D7"/>
    <w:rsid w:val="00F62739"/>
    <w:rsid w:val="00F62CB9"/>
    <w:rsid w:val="00F62FC1"/>
    <w:rsid w:val="00F63138"/>
    <w:rsid w:val="00F640CC"/>
    <w:rsid w:val="00F64206"/>
    <w:rsid w:val="00F64658"/>
    <w:rsid w:val="00F6473E"/>
    <w:rsid w:val="00F64F0C"/>
    <w:rsid w:val="00F65215"/>
    <w:rsid w:val="00F66202"/>
    <w:rsid w:val="00F6620D"/>
    <w:rsid w:val="00F66D52"/>
    <w:rsid w:val="00F6710C"/>
    <w:rsid w:val="00F67BB2"/>
    <w:rsid w:val="00F704BD"/>
    <w:rsid w:val="00F70A95"/>
    <w:rsid w:val="00F71FA5"/>
    <w:rsid w:val="00F73628"/>
    <w:rsid w:val="00F73DCF"/>
    <w:rsid w:val="00F7537A"/>
    <w:rsid w:val="00F7552C"/>
    <w:rsid w:val="00F75835"/>
    <w:rsid w:val="00F76744"/>
    <w:rsid w:val="00F76B25"/>
    <w:rsid w:val="00F777F2"/>
    <w:rsid w:val="00F814EA"/>
    <w:rsid w:val="00F81623"/>
    <w:rsid w:val="00F81A87"/>
    <w:rsid w:val="00F82C6A"/>
    <w:rsid w:val="00F82C8C"/>
    <w:rsid w:val="00F82CDA"/>
    <w:rsid w:val="00F82EF8"/>
    <w:rsid w:val="00F8317F"/>
    <w:rsid w:val="00F843AC"/>
    <w:rsid w:val="00F84844"/>
    <w:rsid w:val="00F84BC1"/>
    <w:rsid w:val="00F84E19"/>
    <w:rsid w:val="00F85CE4"/>
    <w:rsid w:val="00F8613F"/>
    <w:rsid w:val="00F86394"/>
    <w:rsid w:val="00F86BE9"/>
    <w:rsid w:val="00F879BC"/>
    <w:rsid w:val="00F879DF"/>
    <w:rsid w:val="00F90749"/>
    <w:rsid w:val="00F92336"/>
    <w:rsid w:val="00F9298A"/>
    <w:rsid w:val="00F93215"/>
    <w:rsid w:val="00F934C6"/>
    <w:rsid w:val="00F93665"/>
    <w:rsid w:val="00F93702"/>
    <w:rsid w:val="00F93BAB"/>
    <w:rsid w:val="00F94F39"/>
    <w:rsid w:val="00F96347"/>
    <w:rsid w:val="00F966C1"/>
    <w:rsid w:val="00F96EA2"/>
    <w:rsid w:val="00F97BCC"/>
    <w:rsid w:val="00FA03C8"/>
    <w:rsid w:val="00FA095D"/>
    <w:rsid w:val="00FA0DDF"/>
    <w:rsid w:val="00FA15F7"/>
    <w:rsid w:val="00FA1DC7"/>
    <w:rsid w:val="00FA3836"/>
    <w:rsid w:val="00FA3854"/>
    <w:rsid w:val="00FA3D46"/>
    <w:rsid w:val="00FA4C1D"/>
    <w:rsid w:val="00FA5BF1"/>
    <w:rsid w:val="00FA5EE9"/>
    <w:rsid w:val="00FA664E"/>
    <w:rsid w:val="00FA743B"/>
    <w:rsid w:val="00FA77A4"/>
    <w:rsid w:val="00FA7DD7"/>
    <w:rsid w:val="00FB0689"/>
    <w:rsid w:val="00FB07D1"/>
    <w:rsid w:val="00FB0807"/>
    <w:rsid w:val="00FB2858"/>
    <w:rsid w:val="00FB2884"/>
    <w:rsid w:val="00FB3565"/>
    <w:rsid w:val="00FB3937"/>
    <w:rsid w:val="00FB3A9A"/>
    <w:rsid w:val="00FB3C41"/>
    <w:rsid w:val="00FB3F92"/>
    <w:rsid w:val="00FB41D1"/>
    <w:rsid w:val="00FB45DD"/>
    <w:rsid w:val="00FB47E7"/>
    <w:rsid w:val="00FB5766"/>
    <w:rsid w:val="00FB5D10"/>
    <w:rsid w:val="00FB5DC1"/>
    <w:rsid w:val="00FC03C8"/>
    <w:rsid w:val="00FC0C9D"/>
    <w:rsid w:val="00FC1639"/>
    <w:rsid w:val="00FC2171"/>
    <w:rsid w:val="00FC3008"/>
    <w:rsid w:val="00FC3339"/>
    <w:rsid w:val="00FC3792"/>
    <w:rsid w:val="00FC3AFB"/>
    <w:rsid w:val="00FC44B4"/>
    <w:rsid w:val="00FC5554"/>
    <w:rsid w:val="00FC5AB0"/>
    <w:rsid w:val="00FC5B20"/>
    <w:rsid w:val="00FC754E"/>
    <w:rsid w:val="00FD0F3C"/>
    <w:rsid w:val="00FD21A2"/>
    <w:rsid w:val="00FD23E4"/>
    <w:rsid w:val="00FD2718"/>
    <w:rsid w:val="00FD2F28"/>
    <w:rsid w:val="00FD3101"/>
    <w:rsid w:val="00FD38CD"/>
    <w:rsid w:val="00FD48D3"/>
    <w:rsid w:val="00FD5CE3"/>
    <w:rsid w:val="00FD64B4"/>
    <w:rsid w:val="00FD6A70"/>
    <w:rsid w:val="00FD6B3C"/>
    <w:rsid w:val="00FD7A2E"/>
    <w:rsid w:val="00FD7A87"/>
    <w:rsid w:val="00FD7E6A"/>
    <w:rsid w:val="00FD7F7C"/>
    <w:rsid w:val="00FE1990"/>
    <w:rsid w:val="00FE19FF"/>
    <w:rsid w:val="00FE1C46"/>
    <w:rsid w:val="00FE1E68"/>
    <w:rsid w:val="00FE2601"/>
    <w:rsid w:val="00FE3AD2"/>
    <w:rsid w:val="00FE4086"/>
    <w:rsid w:val="00FE4917"/>
    <w:rsid w:val="00FE5DF5"/>
    <w:rsid w:val="00FE6026"/>
    <w:rsid w:val="00FE638B"/>
    <w:rsid w:val="00FE6525"/>
    <w:rsid w:val="00FE65A8"/>
    <w:rsid w:val="00FE7014"/>
    <w:rsid w:val="00FE77E0"/>
    <w:rsid w:val="00FE7F15"/>
    <w:rsid w:val="00FF0A50"/>
    <w:rsid w:val="00FF18DA"/>
    <w:rsid w:val="00FF1DA8"/>
    <w:rsid w:val="00FF31F1"/>
    <w:rsid w:val="00FF3272"/>
    <w:rsid w:val="00FF396E"/>
    <w:rsid w:val="00FF4186"/>
    <w:rsid w:val="00FF431C"/>
    <w:rsid w:val="00FF4510"/>
    <w:rsid w:val="00FF46AC"/>
    <w:rsid w:val="00FF4732"/>
    <w:rsid w:val="00FF7A6D"/>
    <w:rsid w:val="00FF7DAF"/>
    <w:rsid w:val="011A5C8D"/>
    <w:rsid w:val="01A721B2"/>
    <w:rsid w:val="01E40897"/>
    <w:rsid w:val="02525669"/>
    <w:rsid w:val="028D73DF"/>
    <w:rsid w:val="032E1FEC"/>
    <w:rsid w:val="034623EE"/>
    <w:rsid w:val="03FF4B79"/>
    <w:rsid w:val="04BF107A"/>
    <w:rsid w:val="04E43113"/>
    <w:rsid w:val="04FC2151"/>
    <w:rsid w:val="05143E62"/>
    <w:rsid w:val="058C5F44"/>
    <w:rsid w:val="064A2A34"/>
    <w:rsid w:val="06FF3021"/>
    <w:rsid w:val="09196711"/>
    <w:rsid w:val="09E65919"/>
    <w:rsid w:val="0A765E1C"/>
    <w:rsid w:val="0B3E527F"/>
    <w:rsid w:val="0BA5661F"/>
    <w:rsid w:val="0CB33F28"/>
    <w:rsid w:val="0D65463C"/>
    <w:rsid w:val="0D85031D"/>
    <w:rsid w:val="0D9028B2"/>
    <w:rsid w:val="0E645FA9"/>
    <w:rsid w:val="0F0D4D57"/>
    <w:rsid w:val="0F582B65"/>
    <w:rsid w:val="0FCC6EDA"/>
    <w:rsid w:val="10640EFB"/>
    <w:rsid w:val="10BB6C47"/>
    <w:rsid w:val="118A0506"/>
    <w:rsid w:val="11BA4223"/>
    <w:rsid w:val="11D72467"/>
    <w:rsid w:val="1221625C"/>
    <w:rsid w:val="13103312"/>
    <w:rsid w:val="132D5D85"/>
    <w:rsid w:val="134947B2"/>
    <w:rsid w:val="137375A4"/>
    <w:rsid w:val="137C74D8"/>
    <w:rsid w:val="148F7029"/>
    <w:rsid w:val="148F7321"/>
    <w:rsid w:val="14F37B83"/>
    <w:rsid w:val="15CD3786"/>
    <w:rsid w:val="160F76C1"/>
    <w:rsid w:val="16610551"/>
    <w:rsid w:val="16D91E64"/>
    <w:rsid w:val="17527722"/>
    <w:rsid w:val="179D6684"/>
    <w:rsid w:val="17F03845"/>
    <w:rsid w:val="191974BC"/>
    <w:rsid w:val="19623A53"/>
    <w:rsid w:val="19B17E9C"/>
    <w:rsid w:val="1A896007"/>
    <w:rsid w:val="1B204010"/>
    <w:rsid w:val="1BD72652"/>
    <w:rsid w:val="1C310FB8"/>
    <w:rsid w:val="1CB359E2"/>
    <w:rsid w:val="1D300AA5"/>
    <w:rsid w:val="1D60187F"/>
    <w:rsid w:val="1DEF0B38"/>
    <w:rsid w:val="1F4374E1"/>
    <w:rsid w:val="1F4C0702"/>
    <w:rsid w:val="1F5F1D2B"/>
    <w:rsid w:val="1FA729A9"/>
    <w:rsid w:val="229334C4"/>
    <w:rsid w:val="23005E7D"/>
    <w:rsid w:val="238A3947"/>
    <w:rsid w:val="23EF146A"/>
    <w:rsid w:val="23EF2723"/>
    <w:rsid w:val="24212C83"/>
    <w:rsid w:val="243633DD"/>
    <w:rsid w:val="245F2570"/>
    <w:rsid w:val="24646FCA"/>
    <w:rsid w:val="248D34C6"/>
    <w:rsid w:val="25015266"/>
    <w:rsid w:val="256A4FEC"/>
    <w:rsid w:val="25C9388C"/>
    <w:rsid w:val="25FD5A14"/>
    <w:rsid w:val="26424412"/>
    <w:rsid w:val="26E718E0"/>
    <w:rsid w:val="27843350"/>
    <w:rsid w:val="28057C2D"/>
    <w:rsid w:val="28B069E6"/>
    <w:rsid w:val="28E366FF"/>
    <w:rsid w:val="28FB27C5"/>
    <w:rsid w:val="290D504E"/>
    <w:rsid w:val="2A6679F0"/>
    <w:rsid w:val="2AF46F08"/>
    <w:rsid w:val="2AFF0FCF"/>
    <w:rsid w:val="2B4B2D6A"/>
    <w:rsid w:val="2B65243A"/>
    <w:rsid w:val="2C0F73D1"/>
    <w:rsid w:val="2CC74884"/>
    <w:rsid w:val="2CC9146B"/>
    <w:rsid w:val="2D3F06D5"/>
    <w:rsid w:val="2E2F6D2F"/>
    <w:rsid w:val="2E7F7CB6"/>
    <w:rsid w:val="2EE60E95"/>
    <w:rsid w:val="2F2026A7"/>
    <w:rsid w:val="2F625B74"/>
    <w:rsid w:val="2F810079"/>
    <w:rsid w:val="2FFA2201"/>
    <w:rsid w:val="305F1003"/>
    <w:rsid w:val="30B44F2D"/>
    <w:rsid w:val="313A394A"/>
    <w:rsid w:val="31B3011B"/>
    <w:rsid w:val="31C3015B"/>
    <w:rsid w:val="31ED4D46"/>
    <w:rsid w:val="32557E58"/>
    <w:rsid w:val="32FD4C3D"/>
    <w:rsid w:val="330C5891"/>
    <w:rsid w:val="332825B2"/>
    <w:rsid w:val="3358258D"/>
    <w:rsid w:val="33622FAB"/>
    <w:rsid w:val="353B4E5B"/>
    <w:rsid w:val="354B5EA9"/>
    <w:rsid w:val="357A364B"/>
    <w:rsid w:val="359A64F9"/>
    <w:rsid w:val="35B73D18"/>
    <w:rsid w:val="35C42453"/>
    <w:rsid w:val="35F26E0F"/>
    <w:rsid w:val="364A6DFC"/>
    <w:rsid w:val="36B94B11"/>
    <w:rsid w:val="36DF234F"/>
    <w:rsid w:val="373A29CC"/>
    <w:rsid w:val="377108B1"/>
    <w:rsid w:val="37B30635"/>
    <w:rsid w:val="3885006C"/>
    <w:rsid w:val="38EA2788"/>
    <w:rsid w:val="3951606E"/>
    <w:rsid w:val="39867D06"/>
    <w:rsid w:val="39A14F85"/>
    <w:rsid w:val="3B0A6E3C"/>
    <w:rsid w:val="3BA32F6A"/>
    <w:rsid w:val="3BF301E4"/>
    <w:rsid w:val="3C3E2F30"/>
    <w:rsid w:val="3C4F3E59"/>
    <w:rsid w:val="3C5A58BF"/>
    <w:rsid w:val="3CBA5E28"/>
    <w:rsid w:val="3CD64022"/>
    <w:rsid w:val="3D3D6A49"/>
    <w:rsid w:val="3D925ABE"/>
    <w:rsid w:val="3DD824E4"/>
    <w:rsid w:val="3EA87F5B"/>
    <w:rsid w:val="3F3041DA"/>
    <w:rsid w:val="404C5437"/>
    <w:rsid w:val="40AB5AAA"/>
    <w:rsid w:val="41325F99"/>
    <w:rsid w:val="413B181B"/>
    <w:rsid w:val="41CF41E8"/>
    <w:rsid w:val="41FD2582"/>
    <w:rsid w:val="42924DD7"/>
    <w:rsid w:val="42D524E0"/>
    <w:rsid w:val="44580936"/>
    <w:rsid w:val="44775101"/>
    <w:rsid w:val="44B114E6"/>
    <w:rsid w:val="44BF11D4"/>
    <w:rsid w:val="45806396"/>
    <w:rsid w:val="458D460F"/>
    <w:rsid w:val="46A95479"/>
    <w:rsid w:val="46CF0834"/>
    <w:rsid w:val="470E3472"/>
    <w:rsid w:val="4750411D"/>
    <w:rsid w:val="476F386F"/>
    <w:rsid w:val="478B57EC"/>
    <w:rsid w:val="47F8436F"/>
    <w:rsid w:val="48E01BCB"/>
    <w:rsid w:val="49685DD0"/>
    <w:rsid w:val="49B4326B"/>
    <w:rsid w:val="49B72530"/>
    <w:rsid w:val="49D578F3"/>
    <w:rsid w:val="4AB8237A"/>
    <w:rsid w:val="4B044FD4"/>
    <w:rsid w:val="4B0A1B5B"/>
    <w:rsid w:val="4C800A2A"/>
    <w:rsid w:val="4CF1332C"/>
    <w:rsid w:val="4D185106"/>
    <w:rsid w:val="4DF711BF"/>
    <w:rsid w:val="4E6E031B"/>
    <w:rsid w:val="4ED47C17"/>
    <w:rsid w:val="502E2C96"/>
    <w:rsid w:val="50A15412"/>
    <w:rsid w:val="50F7781B"/>
    <w:rsid w:val="5136167A"/>
    <w:rsid w:val="51D33F8C"/>
    <w:rsid w:val="522416E5"/>
    <w:rsid w:val="52BE0B2F"/>
    <w:rsid w:val="52C535F4"/>
    <w:rsid w:val="52D55D74"/>
    <w:rsid w:val="530A729F"/>
    <w:rsid w:val="5324175C"/>
    <w:rsid w:val="536C7F5A"/>
    <w:rsid w:val="53915C12"/>
    <w:rsid w:val="540E3C08"/>
    <w:rsid w:val="545D33CA"/>
    <w:rsid w:val="54F51730"/>
    <w:rsid w:val="55092033"/>
    <w:rsid w:val="550D379E"/>
    <w:rsid w:val="55724863"/>
    <w:rsid w:val="565C793B"/>
    <w:rsid w:val="56AA6689"/>
    <w:rsid w:val="56BD24A9"/>
    <w:rsid w:val="57064221"/>
    <w:rsid w:val="576B3E27"/>
    <w:rsid w:val="576C677A"/>
    <w:rsid w:val="57812A0C"/>
    <w:rsid w:val="57BF2EC7"/>
    <w:rsid w:val="580E3C13"/>
    <w:rsid w:val="58431773"/>
    <w:rsid w:val="59604A93"/>
    <w:rsid w:val="59BD206E"/>
    <w:rsid w:val="5A912D9B"/>
    <w:rsid w:val="5B6518A8"/>
    <w:rsid w:val="5BB12A45"/>
    <w:rsid w:val="5C1A3007"/>
    <w:rsid w:val="5C437A7C"/>
    <w:rsid w:val="5C9B1B86"/>
    <w:rsid w:val="5CB02897"/>
    <w:rsid w:val="5D034650"/>
    <w:rsid w:val="5D45588F"/>
    <w:rsid w:val="5D5C11B9"/>
    <w:rsid w:val="5D653DA0"/>
    <w:rsid w:val="5D6C004A"/>
    <w:rsid w:val="5E10501C"/>
    <w:rsid w:val="5E28486F"/>
    <w:rsid w:val="60623802"/>
    <w:rsid w:val="606F1089"/>
    <w:rsid w:val="61414218"/>
    <w:rsid w:val="61AF02AD"/>
    <w:rsid w:val="61BF4EF9"/>
    <w:rsid w:val="61FE6525"/>
    <w:rsid w:val="627A696C"/>
    <w:rsid w:val="62D701F2"/>
    <w:rsid w:val="631C2067"/>
    <w:rsid w:val="638D2601"/>
    <w:rsid w:val="648E3141"/>
    <w:rsid w:val="65094324"/>
    <w:rsid w:val="652D02FA"/>
    <w:rsid w:val="660B6CA2"/>
    <w:rsid w:val="66513B07"/>
    <w:rsid w:val="672B2017"/>
    <w:rsid w:val="674212A6"/>
    <w:rsid w:val="67642FCA"/>
    <w:rsid w:val="67B35B8C"/>
    <w:rsid w:val="69651092"/>
    <w:rsid w:val="6A475FB0"/>
    <w:rsid w:val="6A6F3A53"/>
    <w:rsid w:val="6A9A0475"/>
    <w:rsid w:val="6A9C6D0E"/>
    <w:rsid w:val="6AA14535"/>
    <w:rsid w:val="6AF62607"/>
    <w:rsid w:val="6C0372A0"/>
    <w:rsid w:val="6C424CF6"/>
    <w:rsid w:val="6E6B2D27"/>
    <w:rsid w:val="6F8911CD"/>
    <w:rsid w:val="6FAA01B2"/>
    <w:rsid w:val="70000592"/>
    <w:rsid w:val="707B1974"/>
    <w:rsid w:val="70C34B12"/>
    <w:rsid w:val="710C08EB"/>
    <w:rsid w:val="712B3F3B"/>
    <w:rsid w:val="71514D50"/>
    <w:rsid w:val="7186779A"/>
    <w:rsid w:val="71A2020A"/>
    <w:rsid w:val="71C50446"/>
    <w:rsid w:val="72553F89"/>
    <w:rsid w:val="734B1337"/>
    <w:rsid w:val="737C48DF"/>
    <w:rsid w:val="74162511"/>
    <w:rsid w:val="74A64E42"/>
    <w:rsid w:val="752F607E"/>
    <w:rsid w:val="75E44E88"/>
    <w:rsid w:val="764C557E"/>
    <w:rsid w:val="76C04C04"/>
    <w:rsid w:val="772712E8"/>
    <w:rsid w:val="773F2427"/>
    <w:rsid w:val="793F3C2C"/>
    <w:rsid w:val="79B34FD2"/>
    <w:rsid w:val="79CD6A44"/>
    <w:rsid w:val="7A0C640E"/>
    <w:rsid w:val="7C9218D6"/>
    <w:rsid w:val="7E381D20"/>
    <w:rsid w:val="7E3D6159"/>
    <w:rsid w:val="7FAB298F"/>
    <w:rsid w:val="99F209DD"/>
    <w:rsid w:val="DBFF95A2"/>
    <w:rsid w:val="FDFB00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qFormat="1" w:unhideWhenUsed="0" w:uiPriority="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semiHidden="0" w:name="Default Paragraph Font"/>
    <w:lsdException w:qFormat="1"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qFormat="1" w:unhideWhenUsed="0" w:uiPriority="0" w:semiHidden="0" w:name="Date"/>
    <w:lsdException w:unhideWhenUsed="0" w:uiPriority="99" w:semiHidden="0" w:name="Body Text First Indent"/>
    <w:lsdException w:qFormat="1" w:unhideWhenUsed="0" w:uiPriority="0" w:semiHidden="0" w:name="Body Text First Indent 2"/>
    <w:lsdException w:unhideWhenUsed="0" w:uiPriority="99" w:semiHidden="0" w:name="Note Heading"/>
    <w:lsdException w:qFormat="1" w:unhideWhenUsed="0" w:uiPriority="0"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qFormat="1" w:unhideWhenUsed="0" w:uiPriority="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qFormat="1" w:unhideWhenUsed="0" w:uiPriority="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link w:val="2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link w:val="26"/>
    <w:qFormat/>
    <w:uiPriority w:val="9"/>
    <w:pPr>
      <w:widowControl/>
      <w:spacing w:before="100" w:beforeAutospacing="1" w:after="100" w:afterAutospacing="1"/>
      <w:jc w:val="left"/>
      <w:outlineLvl w:val="2"/>
    </w:pPr>
    <w:rPr>
      <w:rFonts w:ascii="宋体" w:hAnsi="宋体"/>
      <w:b/>
      <w:bCs/>
      <w:kern w:val="0"/>
      <w:sz w:val="27"/>
      <w:szCs w:val="27"/>
    </w:rPr>
  </w:style>
  <w:style w:type="character" w:default="1" w:styleId="19">
    <w:name w:val="Default Paragraph Font"/>
    <w:link w:val="20"/>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ind w:firstLine="420"/>
      <w:jc w:val="left"/>
    </w:pPr>
    <w:rPr>
      <w:rFonts w:eastAsia="楷体_GB2312"/>
      <w:sz w:val="24"/>
      <w:szCs w:val="20"/>
    </w:rPr>
  </w:style>
  <w:style w:type="paragraph" w:styleId="6">
    <w:name w:val="annotation text"/>
    <w:basedOn w:val="1"/>
    <w:link w:val="27"/>
    <w:semiHidden/>
    <w:qFormat/>
    <w:uiPriority w:val="0"/>
    <w:pPr>
      <w:jc w:val="left"/>
    </w:pPr>
  </w:style>
  <w:style w:type="paragraph" w:styleId="7">
    <w:name w:val="Body Text"/>
    <w:basedOn w:val="1"/>
    <w:qFormat/>
    <w:uiPriority w:val="99"/>
    <w:pPr>
      <w:spacing w:line="1100" w:lineRule="exact"/>
      <w:jc w:val="center"/>
    </w:pPr>
    <w:rPr>
      <w:rFonts w:ascii="黑体" w:hAnsi="宋体" w:eastAsia="黑体"/>
      <w:b/>
      <w:bCs/>
      <w:sz w:val="28"/>
      <w:szCs w:val="32"/>
    </w:rPr>
  </w:style>
  <w:style w:type="paragraph" w:styleId="8">
    <w:name w:val="Plain Text"/>
    <w:basedOn w:val="1"/>
    <w:qFormat/>
    <w:uiPriority w:val="0"/>
    <w:rPr>
      <w:rFonts w:ascii="宋体" w:hAnsi="Courier New"/>
      <w:szCs w:val="20"/>
    </w:rPr>
  </w:style>
  <w:style w:type="paragraph" w:styleId="9">
    <w:name w:val="Date"/>
    <w:basedOn w:val="1"/>
    <w:link w:val="28"/>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2"/>
    <w:basedOn w:val="1"/>
    <w:qFormat/>
    <w:uiPriority w:val="0"/>
    <w:pPr>
      <w:spacing w:after="120" w:line="480" w:lineRule="auto"/>
    </w:pPr>
  </w:style>
  <w:style w:type="paragraph" w:styleId="14">
    <w:name w:val="Normal (Web)"/>
    <w:basedOn w:val="1"/>
    <w:qFormat/>
    <w:uiPriority w:val="0"/>
    <w:pPr>
      <w:spacing w:before="100" w:beforeAutospacing="1" w:after="100" w:afterAutospacing="1"/>
      <w:jc w:val="left"/>
    </w:pPr>
    <w:rPr>
      <w:kern w:val="0"/>
      <w:sz w:val="24"/>
      <w:szCs w:val="20"/>
    </w:rPr>
  </w:style>
  <w:style w:type="paragraph" w:styleId="15">
    <w:name w:val="annotation subject"/>
    <w:basedOn w:val="6"/>
    <w:semiHidden/>
    <w:qFormat/>
    <w:uiPriority w:val="0"/>
    <w:rPr>
      <w:b/>
      <w:bCs/>
    </w:rPr>
  </w:style>
  <w:style w:type="paragraph" w:styleId="16">
    <w:name w:val="Body Text First Indent 2"/>
    <w:basedOn w:val="1"/>
    <w:qFormat/>
    <w:uiPriority w:val="0"/>
    <w:pPr>
      <w:tabs>
        <w:tab w:val="left" w:pos="720"/>
        <w:tab w:val="left" w:pos="1260"/>
        <w:tab w:val="left" w:pos="2160"/>
        <w:tab w:val="left" w:pos="2880"/>
        <w:tab w:val="left" w:pos="3600"/>
        <w:tab w:val="left" w:pos="4320"/>
        <w:tab w:val="left" w:pos="5040"/>
        <w:tab w:val="left" w:pos="5760"/>
      </w:tabs>
      <w:spacing w:line="400" w:lineRule="exact"/>
      <w:ind w:firstLine="480" w:firstLineChars="200"/>
    </w:pPr>
  </w:style>
  <w:style w:type="table" w:styleId="18">
    <w:name w:val="Table Grid"/>
    <w:basedOn w:val="17"/>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_Style 17"/>
    <w:basedOn w:val="1"/>
    <w:link w:val="19"/>
    <w:qFormat/>
    <w:uiPriority w:val="0"/>
    <w:pPr>
      <w:widowControl/>
      <w:spacing w:after="160" w:line="240" w:lineRule="exact"/>
      <w:jc w:val="left"/>
    </w:pPr>
    <w:rPr>
      <w:rFonts w:ascii="Verdana" w:hAnsi="Verdana" w:eastAsia="Times New Roman"/>
      <w:kern w:val="0"/>
      <w:sz w:val="20"/>
      <w:szCs w:val="20"/>
      <w:lang w:eastAsia="en-US"/>
    </w:rPr>
  </w:style>
  <w:style w:type="character" w:styleId="21">
    <w:name w:val="Strong"/>
    <w:qFormat/>
    <w:uiPriority w:val="0"/>
    <w:rPr>
      <w:b/>
      <w:bCs/>
    </w:rPr>
  </w:style>
  <w:style w:type="character" w:styleId="22">
    <w:name w:val="page number"/>
    <w:basedOn w:val="19"/>
    <w:qFormat/>
    <w:uiPriority w:val="0"/>
  </w:style>
  <w:style w:type="character" w:styleId="23">
    <w:name w:val="Hyperlink"/>
    <w:basedOn w:val="19"/>
    <w:qFormat/>
    <w:uiPriority w:val="0"/>
    <w:rPr>
      <w:color w:val="0000FF"/>
      <w:u w:val="single"/>
    </w:rPr>
  </w:style>
  <w:style w:type="character" w:styleId="24">
    <w:name w:val="annotation reference"/>
    <w:semiHidden/>
    <w:qFormat/>
    <w:uiPriority w:val="0"/>
    <w:rPr>
      <w:sz w:val="21"/>
      <w:szCs w:val="21"/>
    </w:rPr>
  </w:style>
  <w:style w:type="character" w:customStyle="1" w:styleId="25">
    <w:name w:val="标题 2 字符"/>
    <w:link w:val="3"/>
    <w:qFormat/>
    <w:uiPriority w:val="0"/>
    <w:rPr>
      <w:rFonts w:ascii="Arial" w:hAnsi="Arial" w:eastAsia="黑体"/>
      <w:b/>
      <w:bCs/>
      <w:sz w:val="32"/>
      <w:szCs w:val="32"/>
    </w:rPr>
  </w:style>
  <w:style w:type="character" w:customStyle="1" w:styleId="26">
    <w:name w:val=" Char Char6"/>
    <w:link w:val="4"/>
    <w:qFormat/>
    <w:uiPriority w:val="9"/>
    <w:rPr>
      <w:rFonts w:ascii="宋体" w:hAnsi="宋体" w:cs="宋体"/>
      <w:b/>
      <w:bCs/>
      <w:sz w:val="27"/>
      <w:szCs w:val="27"/>
    </w:rPr>
  </w:style>
  <w:style w:type="character" w:customStyle="1" w:styleId="27">
    <w:name w:val=" Char Char5"/>
    <w:link w:val="6"/>
    <w:qFormat/>
    <w:uiPriority w:val="0"/>
    <w:rPr>
      <w:rFonts w:eastAsia="宋体"/>
      <w:kern w:val="2"/>
      <w:sz w:val="21"/>
      <w:szCs w:val="24"/>
      <w:lang w:val="en-US" w:eastAsia="zh-CN" w:bidi="ar-SA"/>
    </w:rPr>
  </w:style>
  <w:style w:type="character" w:customStyle="1" w:styleId="28">
    <w:name w:val=" Char Char4"/>
    <w:link w:val="9"/>
    <w:qFormat/>
    <w:uiPriority w:val="0"/>
    <w:rPr>
      <w:kern w:val="2"/>
      <w:sz w:val="21"/>
      <w:szCs w:val="24"/>
    </w:rPr>
  </w:style>
  <w:style w:type="character" w:customStyle="1" w:styleId="29">
    <w:name w:val=" Char Char3"/>
    <w:link w:val="11"/>
    <w:qFormat/>
    <w:uiPriority w:val="99"/>
    <w:rPr>
      <w:kern w:val="2"/>
      <w:sz w:val="18"/>
      <w:szCs w:val="18"/>
    </w:rPr>
  </w:style>
  <w:style w:type="character" w:customStyle="1" w:styleId="30">
    <w:name w:val=" Char Char2"/>
    <w:link w:val="12"/>
    <w:qFormat/>
    <w:uiPriority w:val="0"/>
    <w:rPr>
      <w:rFonts w:eastAsia="宋体"/>
      <w:kern w:val="2"/>
      <w:sz w:val="18"/>
      <w:szCs w:val="18"/>
      <w:lang w:val="en-US" w:eastAsia="zh-CN" w:bidi="ar-SA"/>
    </w:rPr>
  </w:style>
  <w:style w:type="paragraph" w:customStyle="1" w:styleId="31">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2">
    <w:name w:val="toc 7"/>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3">
    <w:name w:val="_Style 51"/>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34">
    <w:name w:val="_Style 28"/>
    <w:basedOn w:val="1"/>
    <w:qFormat/>
    <w:uiPriority w:val="0"/>
    <w:pPr>
      <w:widowControl/>
      <w:spacing w:after="160" w:line="240" w:lineRule="exact"/>
      <w:jc w:val="left"/>
    </w:pPr>
    <w:rPr>
      <w:rFonts w:ascii="Tahoma" w:hAnsi="Tahoma" w:cs="Tahoma"/>
      <w:kern w:val="0"/>
      <w:sz w:val="28"/>
      <w:szCs w:val="28"/>
      <w:lang w:eastAsia="en-US"/>
    </w:rPr>
  </w:style>
  <w:style w:type="character" w:customStyle="1" w:styleId="35">
    <w:name w:val=" Char Char"/>
    <w:qFormat/>
    <w:uiPriority w:val="0"/>
    <w:rPr>
      <w:rFonts w:eastAsia="宋体"/>
      <w:kern w:val="2"/>
      <w:sz w:val="21"/>
      <w:szCs w:val="24"/>
      <w:lang w:val="en-US" w:eastAsia="zh-CN" w:bidi="ar-SA"/>
    </w:rPr>
  </w:style>
  <w:style w:type="character" w:customStyle="1" w:styleId="36">
    <w:name w:val="15"/>
    <w:qFormat/>
    <w:uiPriority w:val="0"/>
    <w:rPr>
      <w:rFonts w:hint="default" w:ascii="Tahoma" w:hAnsi="Tahoma" w:cs="Tahoma"/>
      <w:sz w:val="28"/>
      <w:szCs w:val="28"/>
    </w:rPr>
  </w:style>
  <w:style w:type="character" w:customStyle="1" w:styleId="37">
    <w:name w:val="16"/>
    <w:qFormat/>
    <w:uiPriority w:val="0"/>
    <w:rPr>
      <w:rFonts w:hint="default" w:ascii="Tahoma" w:hAnsi="Tahoma" w:cs="Tahoma"/>
      <w:sz w:val="28"/>
      <w:szCs w:val="28"/>
    </w:rPr>
  </w:style>
  <w:style w:type="character" w:customStyle="1" w:styleId="38">
    <w:name w:val=" Char Char1"/>
    <w:semiHidden/>
    <w:qFormat/>
    <w:uiPriority w:val="0"/>
  </w:style>
  <w:style w:type="paragraph" w:customStyle="1" w:styleId="39">
    <w:name w:val="正文1 Char Char Char"/>
    <w:basedOn w:val="1"/>
    <w:qFormat/>
    <w:uiPriority w:val="0"/>
    <w:pPr>
      <w:spacing w:line="360" w:lineRule="auto"/>
      <w:ind w:firstLine="200" w:firstLineChars="200"/>
    </w:pPr>
    <w:rPr>
      <w:rFonts w:ascii="仿宋_GB2312" w:hAnsi="新宋体" w:eastAsia="仿宋_GB2312"/>
      <w:sz w:val="32"/>
    </w:rPr>
  </w:style>
  <w:style w:type="paragraph" w:customStyle="1" w:styleId="40">
    <w:name w:val="List Paragraph"/>
    <w:basedOn w:val="1"/>
    <w:qFormat/>
    <w:uiPriority w:val="0"/>
    <w:pPr>
      <w:ind w:firstLine="420" w:firstLineChars="200"/>
    </w:pPr>
    <w:rPr>
      <w:rFonts w:ascii="Calibri" w:hAnsi="Calibri" w:cs="Calibri"/>
      <w:szCs w:val="21"/>
    </w:rPr>
  </w:style>
  <w:style w:type="paragraph" w:customStyle="1" w:styleId="41">
    <w:name w:val="_Style 24"/>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42">
    <w:name w:val="_Style 7"/>
    <w:basedOn w:val="1"/>
    <w:qFormat/>
    <w:uiPriority w:val="0"/>
    <w:pPr>
      <w:spacing w:line="360" w:lineRule="auto"/>
      <w:ind w:firstLine="200" w:firstLineChars="200"/>
    </w:pPr>
    <w:rPr>
      <w:rFonts w:ascii="仿宋_GB2312" w:hAnsi="新宋体" w:eastAsia="仿宋_GB2312"/>
      <w:sz w:val="32"/>
    </w:rPr>
  </w:style>
  <w:style w:type="paragraph" w:customStyle="1" w:styleId="43">
    <w:name w:val="1 Char Char Char Char"/>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4">
    <w:name w:val="_Style 10"/>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5">
    <w:name w:val="_Style 3"/>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6">
    <w:name w:val=" Char Char6 Char Char"/>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7">
    <w:name w:val="_Style 69"/>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48">
    <w:name w:val="_Style 281"/>
    <w:basedOn w:val="1"/>
    <w:qFormat/>
    <w:uiPriority w:val="0"/>
    <w:pPr>
      <w:widowControl/>
      <w:spacing w:after="160" w:line="240" w:lineRule="exact"/>
      <w:jc w:val="left"/>
    </w:pPr>
    <w:rPr>
      <w:rFonts w:ascii="Tahoma" w:hAnsi="Tahoma" w:cs="Tahoma"/>
      <w:kern w:val="0"/>
      <w:sz w:val="28"/>
      <w:szCs w:val="28"/>
      <w:lang w:eastAsia="en-US"/>
    </w:rPr>
  </w:style>
  <w:style w:type="character" w:customStyle="1" w:styleId="49">
    <w:name w:val="font11"/>
    <w:qFormat/>
    <w:uiPriority w:val="0"/>
    <w:rPr>
      <w:rFonts w:hint="eastAsia" w:ascii="仿宋" w:hAnsi="仿宋" w:eastAsia="仿宋" w:cs="仿宋"/>
      <w:color w:val="000000"/>
      <w:sz w:val="24"/>
      <w:szCs w:val="24"/>
      <w:u w:val="single"/>
    </w:rPr>
  </w:style>
  <w:style w:type="character" w:customStyle="1" w:styleId="50">
    <w:name w:val="font21"/>
    <w:qFormat/>
    <w:uiPriority w:val="0"/>
    <w:rPr>
      <w:rFonts w:hint="eastAsia" w:ascii="仿宋" w:hAnsi="仿宋" w:eastAsia="仿宋" w:cs="仿宋"/>
      <w:color w:val="000000"/>
      <w:sz w:val="24"/>
      <w:szCs w:val="24"/>
      <w:u w:val="none"/>
    </w:rPr>
  </w:style>
  <w:style w:type="paragraph" w:customStyle="1" w:styleId="51">
    <w:name w:val="DAS列表一"/>
    <w:basedOn w:val="1"/>
    <w:qFormat/>
    <w:uiPriority w:val="0"/>
    <w:pPr>
      <w:numPr>
        <w:ilvl w:val="0"/>
        <w:numId w:val="1"/>
      </w:numPr>
      <w:tabs>
        <w:tab w:val="left" w:pos="360"/>
        <w:tab w:val="left" w:pos="720"/>
        <w:tab w:val="left" w:pos="737"/>
        <w:tab w:val="left" w:pos="885"/>
      </w:tabs>
      <w:spacing w:line="360" w:lineRule="auto"/>
      <w:ind w:right="181"/>
    </w:pPr>
    <w:rPr>
      <w:rFonts w:ascii="Verdana" w:hAnsi="Verdana"/>
      <w:szCs w:val="21"/>
    </w:rPr>
  </w:style>
  <w:style w:type="paragraph" w:customStyle="1" w:styleId="52">
    <w:name w:val="_Style 912"/>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53">
    <w:name w:val="Char"/>
    <w:basedOn w:val="1"/>
    <w:qFormat/>
    <w:uiPriority w:val="0"/>
    <w:pPr>
      <w:widowControl/>
      <w:spacing w:before="100" w:beforeLines="0" w:beforeAutospacing="1" w:after="100" w:afterLines="0" w:afterAutospacing="1" w:line="360" w:lineRule="auto"/>
      <w:ind w:left="360" w:firstLine="624"/>
      <w:jc w:val="left"/>
    </w:pPr>
  </w:style>
  <w:style w:type="paragraph" w:customStyle="1" w:styleId="54">
    <w:name w:val="_Style 23"/>
    <w:basedOn w:val="1"/>
    <w:qFormat/>
    <w:uiPriority w:val="0"/>
    <w:pPr>
      <w:widowControl/>
      <w:spacing w:after="160" w:line="240" w:lineRule="exact"/>
      <w:jc w:val="left"/>
    </w:pPr>
    <w:rPr>
      <w:rFonts w:ascii="Tahoma" w:hAnsi="Tahoma" w:cs="Tahoma"/>
      <w:kern w:val="0"/>
      <w:sz w:val="28"/>
      <w:szCs w:val="28"/>
      <w:lang w:eastAsia="en-US"/>
    </w:rPr>
  </w:style>
  <w:style w:type="table" w:customStyle="1" w:styleId="55">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56">
    <w:name w:val="正文文本缩进2"/>
    <w:basedOn w:val="1"/>
    <w:qFormat/>
    <w:uiPriority w:val="0"/>
    <w:pPr>
      <w:spacing w:after="120"/>
      <w:ind w:left="420" w:leftChars="200"/>
    </w:pPr>
    <w:rPr>
      <w:rFonts w:ascii="Calibri" w:hAnsi="Calibri"/>
      <w:sz w:val="24"/>
    </w:rPr>
  </w:style>
  <w:style w:type="paragraph" w:customStyle="1" w:styleId="57">
    <w:name w:val="列出段落1"/>
    <w:qFormat/>
    <w:uiPriority w:val="0"/>
    <w:pPr>
      <w:widowControl w:val="0"/>
      <w:spacing w:after="160" w:line="259" w:lineRule="auto"/>
      <w:ind w:firstLine="420"/>
      <w:jc w:val="both"/>
    </w:pPr>
    <w:rPr>
      <w:rFonts w:ascii="Calibri" w:hAnsi="Calibri" w:eastAsia="Calibri" w:cs="Calibri"/>
      <w:color w:val="000000"/>
      <w:kern w:val="2"/>
      <w:sz w:val="21"/>
      <w:szCs w:val="21"/>
      <w:lang w:val="en-US" w:eastAsia="zh-CN" w:bidi="ar-SA"/>
    </w:rPr>
  </w:style>
  <w:style w:type="paragraph" w:customStyle="1" w:styleId="58">
    <w:name w:val="列表段落1"/>
    <w:basedOn w:val="1"/>
    <w:qFormat/>
    <w:uiPriority w:val="0"/>
    <w:pPr>
      <w:ind w:firstLine="420" w:firstLineChars="200"/>
    </w:pPr>
  </w:style>
  <w:style w:type="paragraph" w:customStyle="1" w:styleId="59">
    <w:name w:val="正文1"/>
    <w:qFormat/>
    <w:uiPriority w:val="0"/>
    <w:pPr>
      <w:widowControl w:val="0"/>
      <w:spacing w:after="160" w:line="259" w:lineRule="auto"/>
      <w:jc w:val="both"/>
    </w:pPr>
    <w:rPr>
      <w:rFonts w:ascii="Calibri" w:hAnsi="Calibri" w:eastAsia="Calibri" w:cs="Calibri"/>
      <w:color w:val="000000"/>
      <w:kern w:val="2"/>
      <w:sz w:val="21"/>
      <w:szCs w:val="21"/>
      <w:lang w:val="en-US" w:eastAsia="zh-CN" w:bidi="ar-SA"/>
    </w:rPr>
  </w:style>
  <w:style w:type="paragraph" w:customStyle="1" w:styleId="60">
    <w:name w:val="列出段落2"/>
    <w:basedOn w:val="1"/>
    <w:unhideWhenUsed/>
    <w:qFormat/>
    <w:uiPriority w:val="0"/>
    <w:pPr>
      <w:ind w:firstLine="420" w:firstLineChars="200"/>
    </w:pPr>
  </w:style>
  <w:style w:type="paragraph" w:customStyle="1" w:styleId="61">
    <w:name w:val="纯文本1"/>
    <w:basedOn w:val="1"/>
    <w:qFormat/>
    <w:uiPriority w:val="0"/>
    <w:pPr>
      <w:adjustRightInd w:val="0"/>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2965</Words>
  <Characters>3037</Characters>
  <Lines>67</Lines>
  <Paragraphs>18</Paragraphs>
  <TotalTime>2</TotalTime>
  <ScaleCrop>false</ScaleCrop>
  <LinksUpToDate>false</LinksUpToDate>
  <CharactersWithSpaces>3058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2019-06-27T18:42:00Z</dcterms:created>
  <dc:creator>微软用户</dc:creator>
  <cp:lastModifiedBy>曦</cp:lastModifiedBy>
  <dcterms:modified xsi:type="dcterms:W3CDTF">2026-10-27T07:57:40Z</dcterms:modified>
  <dc:title>关于2013年全省高职院校技能大赛</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8356C7A36EB94947B4705AB4566F6705_13</vt:lpwstr>
  </property>
  <property fmtid="{D5CDD505-2E9C-101B-9397-08002B2CF9AE}" pid="4" name="KSOTemplateDocerSaveRecord">
    <vt:lpwstr>eyJoZGlkIjoiZjNmZGQ5ODUyMWNkNjE5NTc5MmIzM2VmZTViMmYwNDAiLCJ1c2VySWQiOiI3NTkwNjc5MDkifQ==</vt:lpwstr>
  </property>
</Properties>
</file>