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imes New Roman" w:eastAsia="仿宋"/>
          <w:b/>
          <w:bCs/>
          <w:sz w:val="28"/>
          <w:szCs w:val="28"/>
          <w:lang w:val="en-US" w:eastAsia="zh-CN"/>
        </w:rPr>
      </w:pPr>
      <w:r>
        <w:rPr>
          <w:rFonts w:hint="eastAsia" w:ascii="Times New Roman"/>
          <w:b/>
          <w:bCs/>
          <w:sz w:val="28"/>
          <w:szCs w:val="28"/>
          <w:lang w:eastAsia="zh-CN"/>
        </w:rPr>
        <w:t>附件</w:t>
      </w:r>
      <w:r>
        <w:rPr>
          <w:rFonts w:hint="eastAsia" w:ascii="Times New Roman"/>
          <w:b/>
          <w:bCs/>
          <w:sz w:val="28"/>
          <w:szCs w:val="28"/>
          <w:lang w:val="en-US" w:eastAsia="zh-CN"/>
        </w:rPr>
        <w:t>2</w:t>
      </w:r>
    </w:p>
    <w:p>
      <w:pPr>
        <w:pStyle w:val="4"/>
        <w:rPr>
          <w:rFonts w:ascii="Times New Roman"/>
          <w:sz w:val="20"/>
        </w:rPr>
      </w:pPr>
    </w:p>
    <w:p>
      <w:pPr>
        <w:spacing w:before="132" w:line="268" w:lineRule="auto"/>
        <w:ind w:left="690" w:right="1009" w:firstLine="0"/>
        <w:jc w:val="center"/>
        <w:rPr>
          <w:rFonts w:hint="eastAsia" w:ascii="黑体" w:eastAsia="黑体"/>
          <w:sz w:val="60"/>
        </w:rPr>
      </w:pPr>
      <w:r>
        <w:rPr>
          <w:rFonts w:hint="eastAsia" w:ascii="黑体" w:eastAsia="黑体"/>
          <w:sz w:val="60"/>
        </w:rPr>
        <w:t>国家级一流本科专业建设点信息采集表</w:t>
      </w:r>
    </w:p>
    <w:p>
      <w:pPr>
        <w:spacing w:before="132" w:line="268" w:lineRule="auto"/>
        <w:ind w:left="690" w:right="1009" w:firstLine="0"/>
        <w:jc w:val="center"/>
        <w:rPr>
          <w:rFonts w:hint="eastAsia" w:ascii="黑体" w:eastAsia="黑体"/>
          <w:sz w:val="60"/>
        </w:rPr>
      </w:pPr>
    </w:p>
    <w:p>
      <w:pPr>
        <w:spacing w:before="132" w:line="268" w:lineRule="auto"/>
        <w:ind w:left="690" w:right="1009" w:firstLine="0"/>
        <w:jc w:val="center"/>
        <w:rPr>
          <w:rFonts w:hint="eastAsia" w:ascii="黑体" w:eastAsia="黑体"/>
          <w:sz w:val="60"/>
        </w:rPr>
      </w:pPr>
    </w:p>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val="en-US" w:eastAsia="zh-CN"/>
        </w:rPr>
      </w:pPr>
      <w:r>
        <w:rPr>
          <w:rFonts w:hint="eastAsia"/>
          <w:b/>
          <w:bCs/>
          <w:sz w:val="36"/>
          <w:szCs w:val="36"/>
          <w:lang w:eastAsia="zh-CN"/>
        </w:rPr>
        <w:t>高校名称：</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eastAsia="zh-CN"/>
        </w:rPr>
      </w:pPr>
      <w:r>
        <w:rPr>
          <w:rFonts w:hint="eastAsia"/>
          <w:b/>
          <w:bCs/>
          <w:sz w:val="36"/>
          <w:szCs w:val="36"/>
          <w:lang w:eastAsia="zh-CN"/>
        </w:rPr>
        <w:t>主管部门：</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eastAsia="zh-CN"/>
        </w:rPr>
      </w:pPr>
      <w:r>
        <w:rPr>
          <w:rFonts w:hint="eastAsia"/>
          <w:b/>
          <w:bCs/>
          <w:sz w:val="36"/>
          <w:szCs w:val="36"/>
          <w:lang w:eastAsia="zh-CN"/>
        </w:rPr>
        <w:t>专业名称：</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eastAsia="zh-CN"/>
        </w:rPr>
      </w:pPr>
      <w:r>
        <w:rPr>
          <w:rFonts w:hint="eastAsia"/>
          <w:b/>
          <w:bCs/>
          <w:sz w:val="36"/>
          <w:szCs w:val="36"/>
          <w:lang w:eastAsia="zh-CN"/>
        </w:rPr>
        <w:t>专业代码：</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eastAsia="仿宋"/>
          <w:b/>
          <w:bCs/>
          <w:sz w:val="36"/>
          <w:szCs w:val="36"/>
          <w:lang w:eastAsia="zh-CN"/>
        </w:rPr>
      </w:pPr>
      <w:r>
        <w:rPr>
          <w:rFonts w:hint="eastAsia"/>
          <w:b/>
          <w:bCs/>
          <w:sz w:val="36"/>
          <w:szCs w:val="36"/>
          <w:lang w:eastAsia="zh-CN"/>
        </w:rPr>
        <w:t>专业类：</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eastAsia="zh-CN"/>
        </w:rPr>
      </w:pPr>
      <w:r>
        <w:rPr>
          <w:rFonts w:hint="eastAsia"/>
          <w:b/>
          <w:bCs/>
          <w:sz w:val="36"/>
          <w:szCs w:val="36"/>
          <w:lang w:eastAsia="zh-CN"/>
        </w:rPr>
        <w:t>专业负责人：</w:t>
      </w:r>
      <w:r>
        <w:rPr>
          <w:rFonts w:hint="eastAsia"/>
          <w:b/>
          <w:bCs/>
          <w:sz w:val="36"/>
          <w:szCs w:val="36"/>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800" w:lineRule="exact"/>
        <w:ind w:firstLine="723" w:firstLineChars="200"/>
        <w:textAlignment w:val="auto"/>
        <w:outlineLvl w:val="9"/>
        <w:rPr>
          <w:rFonts w:hint="eastAsia"/>
          <w:b/>
          <w:bCs/>
          <w:sz w:val="36"/>
          <w:szCs w:val="36"/>
          <w:lang w:eastAsia="zh-CN"/>
        </w:rPr>
      </w:pPr>
      <w:r>
        <w:rPr>
          <w:rFonts w:hint="eastAsia"/>
          <w:b/>
          <w:bCs/>
          <w:sz w:val="36"/>
          <w:szCs w:val="36"/>
          <w:lang w:eastAsia="zh-CN"/>
        </w:rPr>
        <w:t>联系电话：</w:t>
      </w:r>
      <w:r>
        <w:rPr>
          <w:rFonts w:hint="eastAsia"/>
          <w:b/>
          <w:bCs/>
          <w:sz w:val="36"/>
          <w:szCs w:val="36"/>
          <w:u w:val="single"/>
          <w:lang w:val="en-US" w:eastAsia="zh-CN"/>
        </w:rPr>
        <w:t xml:space="preserve">                            </w:t>
      </w:r>
    </w:p>
    <w:p/>
    <w:p/>
    <w:p/>
    <w:p/>
    <w:p/>
    <w:p/>
    <w:p>
      <w:pPr>
        <w:jc w:val="center"/>
        <w:rPr>
          <w:rFonts w:hint="eastAsia"/>
          <w:sz w:val="30"/>
          <w:szCs w:val="30"/>
          <w:lang w:eastAsia="zh-CN"/>
        </w:rPr>
      </w:pPr>
      <w:r>
        <w:rPr>
          <w:rFonts w:hint="eastAsia"/>
          <w:sz w:val="30"/>
          <w:szCs w:val="30"/>
          <w:lang w:eastAsia="zh-CN"/>
        </w:rPr>
        <w:t>教育部高等教育司制</w:t>
      </w:r>
    </w:p>
    <w:p>
      <w:pPr>
        <w:ind w:firstLine="2400" w:firstLineChars="800"/>
        <w:rPr>
          <w:rFonts w:hint="eastAsia"/>
          <w:lang w:val="en-US" w:eastAsia="zh-CN"/>
        </w:rPr>
      </w:pPr>
      <w:r>
        <w:rPr>
          <w:rFonts w:hint="eastAsia"/>
          <w:sz w:val="30"/>
          <w:szCs w:val="30"/>
          <w:lang w:eastAsia="zh-CN"/>
        </w:rPr>
        <w:t>填表日期：</w:t>
      </w:r>
      <w:r>
        <w:rPr>
          <w:rFonts w:hint="eastAsia"/>
          <w:sz w:val="30"/>
          <w:szCs w:val="30"/>
          <w:u w:val="single"/>
          <w:lang w:val="en-US" w:eastAsia="zh-CN"/>
        </w:rPr>
        <w:t xml:space="preserve">     </w:t>
      </w:r>
      <w:r>
        <w:rPr>
          <w:rFonts w:hint="eastAsia"/>
          <w:sz w:val="30"/>
          <w:szCs w:val="30"/>
          <w:lang w:val="en-US" w:eastAsia="zh-CN"/>
        </w:rPr>
        <w:t>年</w:t>
      </w:r>
      <w:r>
        <w:rPr>
          <w:rFonts w:hint="eastAsia"/>
          <w:sz w:val="30"/>
          <w:szCs w:val="30"/>
          <w:u w:val="single"/>
          <w:lang w:val="en-US" w:eastAsia="zh-CN"/>
        </w:rPr>
        <w:t xml:space="preserve">    </w:t>
      </w:r>
      <w:r>
        <w:rPr>
          <w:rFonts w:hint="eastAsia"/>
          <w:sz w:val="30"/>
          <w:szCs w:val="30"/>
          <w:lang w:val="en-US" w:eastAsia="zh-CN"/>
        </w:rPr>
        <w:t>月</w:t>
      </w:r>
    </w:p>
    <w:p/>
    <w:p/>
    <w:p>
      <w:pPr>
        <w:spacing w:after="0"/>
        <w:jc w:val="center"/>
        <w:rPr>
          <w:sz w:val="30"/>
        </w:rPr>
        <w:sectPr>
          <w:type w:val="continuous"/>
          <w:pgSz w:w="11900" w:h="16840"/>
          <w:pgMar w:top="1600" w:right="1340" w:bottom="280" w:left="1660" w:header="720" w:footer="720" w:gutter="0"/>
        </w:sectPr>
      </w:pPr>
    </w:p>
    <w:p>
      <w:pPr>
        <w:spacing w:before="65"/>
        <w:ind w:left="690" w:right="1009" w:firstLine="0"/>
        <w:jc w:val="center"/>
        <w:rPr>
          <w:rFonts w:hint="eastAsia" w:ascii="黑体" w:eastAsia="黑体"/>
          <w:sz w:val="30"/>
        </w:rPr>
      </w:pPr>
      <w:r>
        <w:rPr>
          <w:rFonts w:hint="eastAsia" w:ascii="黑体" w:eastAsia="黑体"/>
          <w:sz w:val="30"/>
        </w:rPr>
        <w:t>填表说明</w:t>
      </w:r>
    </w:p>
    <w:p>
      <w:pPr>
        <w:pStyle w:val="4"/>
        <w:rPr>
          <w:rFonts w:ascii="黑体"/>
          <w:sz w:val="30"/>
        </w:rPr>
      </w:pPr>
    </w:p>
    <w:p>
      <w:pPr>
        <w:pStyle w:val="4"/>
        <w:spacing w:before="11"/>
        <w:rPr>
          <w:rFonts w:ascii="黑体"/>
          <w:sz w:val="35"/>
        </w:rPr>
      </w:pPr>
    </w:p>
    <w:p>
      <w:pPr>
        <w:spacing w:before="0" w:line="328" w:lineRule="auto"/>
        <w:ind w:left="110" w:right="689" w:firstLine="600"/>
        <w:jc w:val="left"/>
        <w:rPr>
          <w:sz w:val="30"/>
        </w:rPr>
      </w:pPr>
      <w:r>
        <w:rPr>
          <w:sz w:val="30"/>
        </w:rPr>
        <w:t>1.采集表填写内容必须实事求是，表达准确严谨。填报内容不得有空缺项，如无内容应填“无”。</w:t>
      </w:r>
    </w:p>
    <w:p>
      <w:pPr>
        <w:spacing w:before="147"/>
        <w:ind w:left="710" w:right="0" w:firstLine="0"/>
        <w:jc w:val="left"/>
        <w:rPr>
          <w:sz w:val="30"/>
        </w:rPr>
      </w:pPr>
      <w:r>
        <w:rPr>
          <w:sz w:val="30"/>
        </w:rPr>
        <w:t>2.采集表须在线填写。</w:t>
      </w:r>
    </w:p>
    <w:p>
      <w:pPr>
        <w:pStyle w:val="4"/>
        <w:spacing w:before="8"/>
        <w:rPr>
          <w:sz w:val="22"/>
        </w:rPr>
      </w:pPr>
    </w:p>
    <w:p>
      <w:pPr>
        <w:spacing w:before="0" w:line="328" w:lineRule="auto"/>
        <w:ind w:left="110" w:right="689" w:firstLine="600"/>
        <w:jc w:val="left"/>
        <w:rPr>
          <w:sz w:val="30"/>
        </w:rPr>
      </w:pPr>
      <w:r>
        <w:rPr>
          <w:sz w:val="30"/>
        </w:rPr>
        <w:t>3.报送单位在线填报结束后，导出《国家级一流本科专业建设点汇总表》，加盖公章后，扫描上传至报送系统。</w:t>
      </w:r>
    </w:p>
    <w:p>
      <w:pPr>
        <w:spacing w:after="0" w:line="328" w:lineRule="auto"/>
        <w:jc w:val="left"/>
        <w:rPr>
          <w:sz w:val="30"/>
        </w:rPr>
        <w:sectPr>
          <w:pgSz w:w="11900" w:h="16840"/>
          <w:pgMar w:top="1600" w:right="1340" w:bottom="280" w:left="1660" w:header="720" w:footer="720" w:gutter="0"/>
        </w:sectPr>
      </w:pPr>
    </w:p>
    <w:p>
      <w:pPr>
        <w:pStyle w:val="4"/>
        <w:rPr>
          <w:sz w:val="20"/>
        </w:rPr>
      </w:pPr>
    </w:p>
    <w:p>
      <w:pPr>
        <w:pStyle w:val="4"/>
        <w:spacing w:before="5"/>
        <w:rPr>
          <w:sz w:val="27"/>
        </w:rPr>
      </w:pPr>
    </w:p>
    <w:p>
      <w:pPr>
        <w:spacing w:before="58"/>
        <w:ind w:left="690" w:right="1009" w:firstLine="0"/>
        <w:jc w:val="center"/>
        <w:rPr>
          <w:rFonts w:hint="eastAsia" w:ascii="黑体" w:eastAsia="黑体"/>
          <w:sz w:val="30"/>
        </w:rPr>
      </w:pPr>
      <w:r>
        <w:rPr>
          <w:rFonts w:hint="eastAsia" w:ascii="黑体" w:eastAsia="黑体"/>
          <w:sz w:val="30"/>
        </w:rPr>
        <w:t>目录</w:t>
      </w:r>
    </w:p>
    <w:p>
      <w:pPr>
        <w:pStyle w:val="4"/>
        <w:spacing w:before="7"/>
        <w:rPr>
          <w:rFonts w:ascii="黑体"/>
          <w:sz w:val="22"/>
        </w:rPr>
      </w:pPr>
    </w:p>
    <w:p>
      <w:pPr>
        <w:spacing w:before="58" w:line="362" w:lineRule="auto"/>
        <w:ind w:left="110" w:right="5789" w:firstLine="0"/>
        <w:jc w:val="left"/>
        <w:rPr>
          <w:sz w:val="30"/>
        </w:rPr>
      </w:pPr>
      <w:r>
        <w:rPr>
          <w:sz w:val="30"/>
        </w:rPr>
        <w:t>一、所在高校基本情况二、报送专业情况</w:t>
      </w:r>
    </w:p>
    <w:p>
      <w:pPr>
        <w:pStyle w:val="9"/>
        <w:numPr>
          <w:ilvl w:val="0"/>
          <w:numId w:val="1"/>
        </w:numPr>
        <w:tabs>
          <w:tab w:val="left" w:pos="710"/>
        </w:tabs>
        <w:spacing w:before="49" w:after="0" w:line="240" w:lineRule="auto"/>
        <w:ind w:left="710" w:right="0" w:hanging="450"/>
        <w:jc w:val="left"/>
        <w:rPr>
          <w:rFonts w:hint="eastAsia" w:ascii="仿宋" w:eastAsia="仿宋"/>
          <w:sz w:val="30"/>
        </w:rPr>
      </w:pPr>
      <w:r>
        <w:rPr>
          <w:rFonts w:hint="eastAsia" w:ascii="仿宋" w:eastAsia="仿宋"/>
          <w:sz w:val="30"/>
        </w:rPr>
        <w:t>专业基本情况</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专业负责人基本情况</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近3年本专业毕业生就业（升学）情况</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近3年本专业获省部级及以上奖励和支持情况</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专业定位、历史沿革和特色优势</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深化专业综合改革的主要措施和成效</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加强师资队伍和基层教学组织建设的主要举措及成效</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加强专业教学质量保障体系建设的主要举措和成效</w:t>
      </w:r>
    </w:p>
    <w:p>
      <w:pPr>
        <w:pStyle w:val="4"/>
        <w:spacing w:before="2"/>
        <w:rPr>
          <w:sz w:val="18"/>
        </w:rPr>
      </w:pPr>
    </w:p>
    <w:p>
      <w:pPr>
        <w:pStyle w:val="9"/>
        <w:numPr>
          <w:ilvl w:val="0"/>
          <w:numId w:val="1"/>
        </w:numPr>
        <w:tabs>
          <w:tab w:val="left" w:pos="710"/>
        </w:tabs>
        <w:spacing w:before="58" w:after="0" w:line="240" w:lineRule="auto"/>
        <w:ind w:left="710" w:right="0" w:hanging="450"/>
        <w:jc w:val="left"/>
        <w:rPr>
          <w:rFonts w:hint="eastAsia" w:ascii="仿宋" w:eastAsia="仿宋"/>
          <w:sz w:val="30"/>
        </w:rPr>
      </w:pPr>
      <w:r>
        <w:rPr>
          <w:rFonts w:hint="eastAsia" w:ascii="仿宋" w:eastAsia="仿宋"/>
          <w:sz w:val="30"/>
        </w:rPr>
        <w:t>毕业生培养质量的跟踪调查结果和外部评价</w:t>
      </w:r>
    </w:p>
    <w:p>
      <w:pPr>
        <w:pStyle w:val="4"/>
        <w:spacing w:before="7"/>
        <w:rPr>
          <w:sz w:val="14"/>
        </w:rPr>
      </w:pPr>
    </w:p>
    <w:p>
      <w:pPr>
        <w:spacing w:before="58" w:line="362" w:lineRule="auto"/>
        <w:ind w:left="110" w:right="2189" w:firstLine="0"/>
        <w:jc w:val="left"/>
        <w:rPr>
          <w:sz w:val="30"/>
        </w:rPr>
      </w:pPr>
      <w:r>
        <w:rPr>
          <w:sz w:val="30"/>
        </w:rPr>
        <w:t>三、下一步推进专业建设和改革的主要思路及举措四、本专业人才培养方案</w:t>
      </w:r>
    </w:p>
    <w:p>
      <w:pPr>
        <w:spacing w:after="0" w:line="362" w:lineRule="auto"/>
        <w:jc w:val="left"/>
        <w:rPr>
          <w:sz w:val="30"/>
        </w:rPr>
        <w:sectPr>
          <w:pgSz w:w="11900" w:h="16840"/>
          <w:pgMar w:top="1600" w:right="1340" w:bottom="280" w:left="1660" w:header="720" w:footer="720" w:gutter="0"/>
        </w:sectPr>
      </w:pPr>
    </w:p>
    <w:p>
      <w:pPr>
        <w:spacing w:before="65"/>
        <w:ind w:left="110" w:right="0" w:firstLine="0"/>
        <w:jc w:val="left"/>
        <w:rPr>
          <w:rFonts w:hint="eastAsia" w:ascii="黑体" w:eastAsia="黑体"/>
          <w:sz w:val="30"/>
        </w:rPr>
      </w:pPr>
      <w:r>
        <w:rPr>
          <w:rFonts w:hint="eastAsia" w:ascii="黑体" w:eastAsia="黑体"/>
          <w:sz w:val="30"/>
        </w:rPr>
        <w:t>一、所在高校基本情况</w:t>
      </w:r>
    </w:p>
    <w:p>
      <w:pPr>
        <w:pStyle w:val="4"/>
        <w:spacing w:before="9"/>
        <w:rPr>
          <w:rFonts w:ascii="黑体"/>
          <w:sz w:val="17"/>
        </w:rPr>
      </w:pPr>
    </w:p>
    <w:tbl>
      <w:tblPr>
        <w:tblStyle w:val="7"/>
        <w:tblW w:w="8345" w:type="dxa"/>
        <w:tblInd w:w="125"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1339"/>
        <w:gridCol w:w="2662"/>
        <w:gridCol w:w="2970"/>
        <w:gridCol w:w="1374"/>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437" w:hRule="atLeast"/>
        </w:trPr>
        <w:tc>
          <w:tcPr>
            <w:tcW w:w="1339" w:type="dxa"/>
            <w:vAlign w:val="center"/>
          </w:tcPr>
          <w:p>
            <w:pPr>
              <w:pStyle w:val="10"/>
              <w:jc w:val="center"/>
              <w:rPr>
                <w:sz w:val="24"/>
                <w:szCs w:val="24"/>
              </w:rPr>
            </w:pPr>
            <w:r>
              <w:rPr>
                <w:b/>
                <w:bCs/>
                <w:color w:val="333333"/>
                <w:sz w:val="24"/>
                <w:szCs w:val="24"/>
              </w:rPr>
              <w:t>学校名称</w:t>
            </w:r>
          </w:p>
        </w:tc>
        <w:tc>
          <w:tcPr>
            <w:tcW w:w="2662" w:type="dxa"/>
            <w:vAlign w:val="center"/>
          </w:tcPr>
          <w:p>
            <w:pPr>
              <w:pStyle w:val="10"/>
              <w:jc w:val="center"/>
              <w:rPr>
                <w:sz w:val="24"/>
                <w:szCs w:val="24"/>
              </w:rPr>
            </w:pPr>
            <w:r>
              <w:rPr>
                <w:color w:val="333333"/>
                <w:sz w:val="24"/>
                <w:szCs w:val="24"/>
              </w:rPr>
              <w:t>海南热带海洋学院</w:t>
            </w:r>
          </w:p>
        </w:tc>
        <w:tc>
          <w:tcPr>
            <w:tcW w:w="2970" w:type="dxa"/>
            <w:vAlign w:val="center"/>
          </w:tcPr>
          <w:p>
            <w:pPr>
              <w:pStyle w:val="10"/>
              <w:jc w:val="center"/>
              <w:rPr>
                <w:sz w:val="24"/>
                <w:szCs w:val="24"/>
              </w:rPr>
            </w:pPr>
            <w:r>
              <w:rPr>
                <w:b/>
                <w:bCs/>
                <w:color w:val="333333"/>
                <w:sz w:val="24"/>
                <w:szCs w:val="24"/>
              </w:rPr>
              <w:t>学校代码</w:t>
            </w:r>
          </w:p>
        </w:tc>
        <w:tc>
          <w:tcPr>
            <w:tcW w:w="1374" w:type="dxa"/>
            <w:vAlign w:val="center"/>
          </w:tcPr>
          <w:p>
            <w:pPr>
              <w:pStyle w:val="10"/>
              <w:spacing w:before="1"/>
              <w:jc w:val="center"/>
              <w:rPr>
                <w:rFonts w:ascii="Arial"/>
                <w:sz w:val="24"/>
                <w:szCs w:val="24"/>
              </w:rPr>
            </w:pPr>
            <w:r>
              <w:rPr>
                <w:rFonts w:hint="eastAsia" w:ascii="仿宋" w:hAnsi="仿宋" w:eastAsia="仿宋" w:cs="仿宋"/>
                <w:color w:val="333333"/>
                <w:sz w:val="24"/>
                <w:szCs w:val="24"/>
              </w:rPr>
              <w:t>11100</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392" w:hRule="atLeast"/>
        </w:trPr>
        <w:tc>
          <w:tcPr>
            <w:tcW w:w="1339" w:type="dxa"/>
            <w:vMerge w:val="restart"/>
            <w:vAlign w:val="center"/>
          </w:tcPr>
          <w:p>
            <w:pPr>
              <w:pStyle w:val="10"/>
              <w:spacing w:line="268" w:lineRule="auto"/>
              <w:ind w:right="294"/>
              <w:jc w:val="center"/>
              <w:rPr>
                <w:sz w:val="24"/>
                <w:szCs w:val="24"/>
              </w:rPr>
            </w:pPr>
            <w:r>
              <w:rPr>
                <w:b/>
                <w:bCs/>
                <w:color w:val="333333"/>
                <w:sz w:val="24"/>
                <w:szCs w:val="24"/>
              </w:rPr>
              <w:t>学校办学基本类型</w:t>
            </w:r>
          </w:p>
        </w:tc>
        <w:tc>
          <w:tcPr>
            <w:tcW w:w="7006" w:type="dxa"/>
            <w:gridSpan w:val="3"/>
            <w:vAlign w:val="center"/>
          </w:tcPr>
          <w:p>
            <w:pPr>
              <w:pStyle w:val="10"/>
              <w:spacing w:before="151"/>
              <w:ind w:left="127"/>
              <w:jc w:val="center"/>
              <w:rPr>
                <w:sz w:val="24"/>
                <w:szCs w:val="24"/>
              </w:rPr>
            </w:pPr>
            <w:r>
              <w:rPr>
                <w:color w:val="333333"/>
                <w:sz w:val="24"/>
                <w:szCs w:val="24"/>
              </w:rPr>
              <w:t>地方院校</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362" w:hRule="atLeast"/>
        </w:trPr>
        <w:tc>
          <w:tcPr>
            <w:tcW w:w="1339" w:type="dxa"/>
            <w:vMerge w:val="continue"/>
            <w:tcBorders>
              <w:top w:val="nil"/>
            </w:tcBorders>
            <w:vAlign w:val="center"/>
          </w:tcPr>
          <w:p>
            <w:pPr>
              <w:jc w:val="center"/>
              <w:rPr>
                <w:sz w:val="24"/>
                <w:szCs w:val="24"/>
              </w:rPr>
            </w:pPr>
          </w:p>
        </w:tc>
        <w:tc>
          <w:tcPr>
            <w:tcW w:w="7006" w:type="dxa"/>
            <w:gridSpan w:val="3"/>
            <w:vAlign w:val="center"/>
          </w:tcPr>
          <w:p>
            <w:pPr>
              <w:pStyle w:val="10"/>
              <w:spacing w:before="151"/>
              <w:ind w:left="127"/>
              <w:jc w:val="center"/>
              <w:rPr>
                <w:sz w:val="24"/>
                <w:szCs w:val="24"/>
              </w:rPr>
            </w:pPr>
            <w:r>
              <w:rPr>
                <w:color w:val="333333"/>
                <w:sz w:val="24"/>
                <w:szCs w:val="24"/>
              </w:rPr>
              <w:t>公办</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741" w:hRule="atLeast"/>
        </w:trPr>
        <w:tc>
          <w:tcPr>
            <w:tcW w:w="1339" w:type="dxa"/>
            <w:vAlign w:val="center"/>
          </w:tcPr>
          <w:p>
            <w:pPr>
              <w:pStyle w:val="10"/>
              <w:spacing w:before="151" w:line="268" w:lineRule="auto"/>
              <w:ind w:left="127" w:right="144"/>
              <w:jc w:val="center"/>
              <w:rPr>
                <w:sz w:val="24"/>
                <w:szCs w:val="24"/>
              </w:rPr>
            </w:pPr>
            <w:r>
              <w:rPr>
                <w:b/>
                <w:bCs/>
                <w:color w:val="333333"/>
                <w:sz w:val="24"/>
                <w:szCs w:val="24"/>
              </w:rPr>
              <w:t>在校本科生总数</w:t>
            </w:r>
          </w:p>
        </w:tc>
        <w:tc>
          <w:tcPr>
            <w:tcW w:w="2662" w:type="dxa"/>
            <w:vAlign w:val="center"/>
          </w:tcPr>
          <w:p>
            <w:pPr>
              <w:pStyle w:val="10"/>
              <w:jc w:val="center"/>
              <w:rPr>
                <w:sz w:val="24"/>
                <w:szCs w:val="24"/>
              </w:rPr>
            </w:pPr>
            <w:r>
              <w:rPr>
                <w:rFonts w:ascii="Arial" w:eastAsia="Arial"/>
                <w:color w:val="333333"/>
                <w:sz w:val="24"/>
                <w:szCs w:val="24"/>
              </w:rPr>
              <w:t>1</w:t>
            </w:r>
            <w:r>
              <w:rPr>
                <w:rFonts w:hint="eastAsia" w:ascii="Arial" w:eastAsia="宋体"/>
                <w:color w:val="333333"/>
                <w:sz w:val="24"/>
                <w:szCs w:val="24"/>
                <w:lang w:val="en-US" w:eastAsia="zh-CN"/>
              </w:rPr>
              <w:t>5429</w:t>
            </w:r>
            <w:r>
              <w:rPr>
                <w:color w:val="333333"/>
                <w:sz w:val="24"/>
                <w:szCs w:val="24"/>
              </w:rPr>
              <w:t>人</w:t>
            </w:r>
          </w:p>
        </w:tc>
        <w:tc>
          <w:tcPr>
            <w:tcW w:w="2970" w:type="dxa"/>
            <w:vAlign w:val="center"/>
          </w:tcPr>
          <w:p>
            <w:pPr>
              <w:pStyle w:val="10"/>
              <w:spacing w:before="151" w:line="268" w:lineRule="auto"/>
              <w:ind w:left="127" w:right="210"/>
              <w:jc w:val="center"/>
              <w:rPr>
                <w:sz w:val="24"/>
                <w:szCs w:val="24"/>
              </w:rPr>
            </w:pPr>
            <w:r>
              <w:rPr>
                <w:b/>
                <w:bCs/>
                <w:color w:val="333333"/>
                <w:sz w:val="24"/>
                <w:szCs w:val="24"/>
              </w:rPr>
              <w:t>近3年年均本科招生数</w:t>
            </w:r>
          </w:p>
        </w:tc>
        <w:tc>
          <w:tcPr>
            <w:tcW w:w="1374" w:type="dxa"/>
            <w:vAlign w:val="center"/>
          </w:tcPr>
          <w:p>
            <w:pPr>
              <w:pStyle w:val="10"/>
              <w:jc w:val="center"/>
              <w:rPr>
                <w:sz w:val="24"/>
                <w:szCs w:val="24"/>
              </w:rPr>
            </w:pPr>
            <w:r>
              <w:rPr>
                <w:rFonts w:hint="eastAsia" w:ascii="Arial" w:eastAsia="宋体"/>
                <w:color w:val="333333"/>
                <w:sz w:val="24"/>
                <w:szCs w:val="24"/>
                <w:lang w:val="en-US" w:eastAsia="zh-CN"/>
              </w:rPr>
              <w:t>4045</w:t>
            </w:r>
            <w:r>
              <w:rPr>
                <w:color w:val="333333"/>
                <w:sz w:val="24"/>
                <w:szCs w:val="24"/>
              </w:rPr>
              <w:t>人</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651" w:hRule="atLeast"/>
        </w:trPr>
        <w:tc>
          <w:tcPr>
            <w:tcW w:w="1339" w:type="dxa"/>
            <w:vAlign w:val="center"/>
          </w:tcPr>
          <w:p>
            <w:pPr>
              <w:pStyle w:val="10"/>
              <w:spacing w:line="268" w:lineRule="auto"/>
              <w:ind w:right="294"/>
              <w:jc w:val="center"/>
              <w:rPr>
                <w:sz w:val="24"/>
                <w:szCs w:val="24"/>
              </w:rPr>
            </w:pPr>
            <w:r>
              <w:rPr>
                <w:b/>
                <w:bCs/>
                <w:color w:val="333333"/>
                <w:sz w:val="24"/>
                <w:szCs w:val="24"/>
              </w:rPr>
              <w:t>专任教师总数</w:t>
            </w:r>
          </w:p>
        </w:tc>
        <w:tc>
          <w:tcPr>
            <w:tcW w:w="2662" w:type="dxa"/>
            <w:vAlign w:val="center"/>
          </w:tcPr>
          <w:p>
            <w:pPr>
              <w:pStyle w:val="10"/>
              <w:spacing w:before="167"/>
              <w:jc w:val="center"/>
              <w:rPr>
                <w:sz w:val="24"/>
                <w:szCs w:val="24"/>
              </w:rPr>
            </w:pPr>
            <w:r>
              <w:rPr>
                <w:rFonts w:hint="eastAsia" w:ascii="Arial" w:eastAsia="宋体"/>
                <w:color w:val="333333"/>
                <w:sz w:val="24"/>
                <w:szCs w:val="24"/>
                <w:lang w:val="en-US" w:eastAsia="zh-CN"/>
              </w:rPr>
              <w:t>810</w:t>
            </w:r>
            <w:r>
              <w:rPr>
                <w:color w:val="333333"/>
                <w:sz w:val="24"/>
                <w:szCs w:val="24"/>
              </w:rPr>
              <w:t>人</w:t>
            </w:r>
          </w:p>
        </w:tc>
        <w:tc>
          <w:tcPr>
            <w:tcW w:w="2970" w:type="dxa"/>
            <w:vAlign w:val="center"/>
          </w:tcPr>
          <w:p>
            <w:pPr>
              <w:pStyle w:val="10"/>
              <w:spacing w:before="151" w:line="268" w:lineRule="auto"/>
              <w:ind w:left="127" w:right="315"/>
              <w:jc w:val="center"/>
              <w:rPr>
                <w:sz w:val="24"/>
                <w:szCs w:val="24"/>
              </w:rPr>
            </w:pPr>
            <w:r>
              <w:rPr>
                <w:b/>
                <w:bCs/>
                <w:color w:val="333333"/>
                <w:sz w:val="24"/>
                <w:szCs w:val="24"/>
              </w:rPr>
              <w:t>专任教师中副教授及以上职称比例</w:t>
            </w:r>
          </w:p>
        </w:tc>
        <w:tc>
          <w:tcPr>
            <w:tcW w:w="1374" w:type="dxa"/>
            <w:vAlign w:val="center"/>
          </w:tcPr>
          <w:p>
            <w:pPr>
              <w:pStyle w:val="10"/>
              <w:spacing w:before="167"/>
              <w:jc w:val="center"/>
              <w:rPr>
                <w:rFonts w:ascii="Arial"/>
                <w:sz w:val="24"/>
                <w:szCs w:val="24"/>
              </w:rPr>
            </w:pPr>
            <w:r>
              <w:rPr>
                <w:rFonts w:hint="eastAsia" w:ascii="Arial"/>
                <w:color w:val="333333"/>
                <w:sz w:val="24"/>
                <w:szCs w:val="24"/>
                <w:lang w:val="en-US" w:eastAsia="zh-CN"/>
              </w:rPr>
              <w:t>56.56</w:t>
            </w:r>
            <w:r>
              <w:rPr>
                <w:rFonts w:ascii="Arial"/>
                <w:color w:val="333333"/>
                <w:sz w:val="24"/>
                <w:szCs w:val="24"/>
              </w:rPr>
              <w:t>%</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803" w:hRule="atLeast"/>
        </w:trPr>
        <w:tc>
          <w:tcPr>
            <w:tcW w:w="1339" w:type="dxa"/>
            <w:vAlign w:val="center"/>
          </w:tcPr>
          <w:p>
            <w:pPr>
              <w:pStyle w:val="10"/>
              <w:jc w:val="center"/>
              <w:rPr>
                <w:sz w:val="24"/>
                <w:szCs w:val="24"/>
              </w:rPr>
            </w:pPr>
            <w:r>
              <w:rPr>
                <w:b/>
                <w:bCs/>
                <w:color w:val="333333"/>
                <w:sz w:val="24"/>
                <w:szCs w:val="24"/>
              </w:rPr>
              <w:t>生师比</w:t>
            </w:r>
          </w:p>
        </w:tc>
        <w:tc>
          <w:tcPr>
            <w:tcW w:w="2662" w:type="dxa"/>
            <w:vAlign w:val="center"/>
          </w:tcPr>
          <w:p>
            <w:pPr>
              <w:pStyle w:val="10"/>
              <w:jc w:val="center"/>
              <w:rPr>
                <w:rFonts w:hint="eastAsia" w:ascii="Arial" w:eastAsia="仿宋"/>
                <w:sz w:val="24"/>
                <w:szCs w:val="24"/>
                <w:lang w:val="en-US" w:eastAsia="zh-CN"/>
              </w:rPr>
            </w:pPr>
            <w:r>
              <w:rPr>
                <w:rFonts w:hint="eastAsia" w:ascii="Arial" w:eastAsia="宋体"/>
                <w:color w:val="333333"/>
                <w:sz w:val="24"/>
                <w:szCs w:val="24"/>
                <w:lang w:val="en-US" w:eastAsia="zh-CN"/>
              </w:rPr>
              <w:t>19.05</w:t>
            </w:r>
          </w:p>
        </w:tc>
        <w:tc>
          <w:tcPr>
            <w:tcW w:w="2970" w:type="dxa"/>
            <w:vAlign w:val="center"/>
          </w:tcPr>
          <w:p>
            <w:pPr>
              <w:pStyle w:val="10"/>
              <w:spacing w:before="151" w:line="268" w:lineRule="auto"/>
              <w:ind w:left="127" w:right="315"/>
              <w:jc w:val="center"/>
              <w:rPr>
                <w:sz w:val="24"/>
                <w:szCs w:val="24"/>
              </w:rPr>
            </w:pPr>
            <w:r>
              <w:rPr>
                <w:b/>
                <w:bCs/>
                <w:color w:val="333333"/>
                <w:sz w:val="24"/>
                <w:szCs w:val="24"/>
              </w:rPr>
              <w:t>具有硕博士学位教师占专任教师比例</w:t>
            </w:r>
          </w:p>
        </w:tc>
        <w:tc>
          <w:tcPr>
            <w:tcW w:w="1374" w:type="dxa"/>
            <w:vAlign w:val="center"/>
          </w:tcPr>
          <w:p>
            <w:pPr>
              <w:pStyle w:val="10"/>
              <w:jc w:val="center"/>
              <w:rPr>
                <w:rFonts w:ascii="Arial"/>
                <w:sz w:val="24"/>
                <w:szCs w:val="24"/>
              </w:rPr>
            </w:pPr>
            <w:r>
              <w:rPr>
                <w:rFonts w:hint="eastAsia" w:ascii="Arial"/>
                <w:color w:val="333333"/>
                <w:sz w:val="24"/>
                <w:szCs w:val="24"/>
                <w:lang w:val="en-US" w:eastAsia="zh-CN"/>
              </w:rPr>
              <w:t>77.78</w:t>
            </w:r>
            <w:r>
              <w:rPr>
                <w:rFonts w:ascii="Arial"/>
                <w:color w:val="333333"/>
                <w:spacing w:val="56"/>
                <w:sz w:val="24"/>
                <w:szCs w:val="24"/>
              </w:rPr>
              <w:t xml:space="preserve"> </w:t>
            </w:r>
            <w:r>
              <w:rPr>
                <w:rFonts w:ascii="Arial"/>
                <w:color w:val="333333"/>
                <w:sz w:val="24"/>
                <w:szCs w:val="24"/>
              </w:rPr>
              <w:t>%</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7470" w:hRule="atLeast"/>
        </w:trPr>
        <w:tc>
          <w:tcPr>
            <w:tcW w:w="1339"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26"/>
              </w:rPr>
            </w:pPr>
          </w:p>
          <w:p>
            <w:pPr>
              <w:pStyle w:val="10"/>
              <w:spacing w:line="268" w:lineRule="auto"/>
              <w:ind w:left="187" w:right="294"/>
              <w:jc w:val="both"/>
              <w:rPr>
                <w:sz w:val="21"/>
              </w:rPr>
            </w:pPr>
            <w:r>
              <w:rPr>
                <w:color w:val="333333"/>
                <w:sz w:val="21"/>
              </w:rPr>
              <w:t>推进高水平本科建设整体情况</w:t>
            </w:r>
          </w:p>
        </w:tc>
        <w:tc>
          <w:tcPr>
            <w:tcW w:w="7006" w:type="dxa"/>
            <w:gridSpan w:val="3"/>
          </w:tcPr>
          <w:p>
            <w:pPr>
              <w:pStyle w:val="10"/>
              <w:spacing w:before="151" w:line="271" w:lineRule="auto"/>
              <w:ind w:left="127" w:right="141"/>
              <w:rPr>
                <w:rFonts w:ascii="黑体"/>
                <w:sz w:val="24"/>
                <w:szCs w:val="24"/>
              </w:rPr>
            </w:pPr>
            <w:r>
              <w:rPr>
                <w:color w:val="333333"/>
                <w:sz w:val="24"/>
                <w:szCs w:val="24"/>
              </w:rPr>
              <w:t>（落实“以本为本、四个回归”、推进“四新”建设、完善协同育人和实践教学机制、培育以人才培养为中心的质量文化等，1200字以内）</w:t>
            </w:r>
          </w:p>
          <w:p>
            <w:pPr>
              <w:pStyle w:val="10"/>
              <w:keepNext w:val="0"/>
              <w:keepLines w:val="0"/>
              <w:pageBreakBefore w:val="0"/>
              <w:widowControl w:val="0"/>
              <w:kinsoku/>
              <w:wordWrap/>
              <w:overflowPunct/>
              <w:topLinePunct w:val="0"/>
              <w:autoSpaceDE w:val="0"/>
              <w:autoSpaceDN w:val="0"/>
              <w:bidi w:val="0"/>
              <w:adjustRightInd/>
              <w:snapToGrid/>
              <w:spacing w:before="0" w:line="248" w:lineRule="auto"/>
              <w:ind w:left="249" w:right="261" w:firstLine="482"/>
              <w:jc w:val="both"/>
              <w:textAlignment w:val="auto"/>
              <w:outlineLvl w:val="9"/>
              <w:rPr>
                <w:sz w:val="24"/>
                <w:szCs w:val="24"/>
              </w:rPr>
            </w:pPr>
            <w:r>
              <w:rPr>
                <w:rFonts w:hint="eastAsia"/>
                <w:color w:val="333333"/>
                <w:sz w:val="24"/>
                <w:szCs w:val="24"/>
              </w:rPr>
              <w:t>2018年</w:t>
            </w:r>
            <w:r>
              <w:rPr>
                <w:color w:val="333333"/>
                <w:sz w:val="24"/>
                <w:szCs w:val="24"/>
              </w:rPr>
              <w:t>新时代全国高等学校本科教育工作会议强调，坚持“以本为本”，推进“四个回归”，加快建设高水平本科教育、全面提高人才培养能力。本科教育是具有战略地位的教育、是纲举目张的教育。学校在建设“国际化、开放性、特色鲜明的高水平应用型海洋大学”的进程中，把立德树人作为根本任务，深化教育教学改革，不断完善应用型人才培养体系，在服务海南自贸区（港）建设中不断强化办学特色，提升办学水平。2018年以来，学校积极落实全国教育大会和新时代全国高等学校本科教育工作会议精神，以本为本，以生为本，提高应用型人才培养质量，推进一流本科教育建设。</w:t>
            </w: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726"/>
              <w:textAlignment w:val="auto"/>
              <w:outlineLvl w:val="9"/>
              <w:rPr>
                <w:sz w:val="24"/>
                <w:szCs w:val="24"/>
              </w:rPr>
            </w:pPr>
            <w:r>
              <w:rPr>
                <w:rFonts w:ascii="Arial" w:hAnsi="Arial" w:eastAsia="Arial"/>
                <w:b/>
                <w:color w:val="333333"/>
                <w:sz w:val="24"/>
                <w:szCs w:val="24"/>
              </w:rPr>
              <w:t>1</w:t>
            </w:r>
            <w:r>
              <w:rPr>
                <w:color w:val="333333"/>
                <w:sz w:val="24"/>
                <w:szCs w:val="24"/>
              </w:rPr>
              <w:t>、落实</w:t>
            </w:r>
            <w:r>
              <w:rPr>
                <w:rFonts w:ascii="Arial" w:hAnsi="Arial" w:eastAsia="Arial"/>
                <w:b/>
                <w:color w:val="333333"/>
                <w:sz w:val="24"/>
                <w:szCs w:val="24"/>
              </w:rPr>
              <w:t>“</w:t>
            </w:r>
            <w:r>
              <w:rPr>
                <w:color w:val="333333"/>
                <w:sz w:val="24"/>
                <w:szCs w:val="24"/>
              </w:rPr>
              <w:t>以本为本、四个回归”</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sz w:val="24"/>
              </w:rPr>
            </w:pPr>
            <w:r>
              <w:rPr>
                <w:color w:val="333333"/>
                <w:sz w:val="24"/>
                <w:szCs w:val="24"/>
              </w:rPr>
              <w:t>高教大计，本科为本；本科不牢，地动山摇。有两个基本点，一个是坚持以本为本；另一个是推进四个回归。学校响应教育部要求，坚决取消清考，直面问题，从课堂授课、实习见习、毕业论文、实验课、考试等环节分析水课现象的不同表征，重点排查三类情况，督促授课教师在合理提升学业挑战度，增加课程难度、拓展课程深度上多花精力、狠下功夫，切实提高课程教学质量。</w:t>
            </w:r>
          </w:p>
        </w:tc>
      </w:tr>
    </w:tbl>
    <w:p>
      <w:pPr>
        <w:spacing w:after="0" w:line="244" w:lineRule="auto"/>
        <w:rPr>
          <w:sz w:val="24"/>
        </w:rPr>
        <w:sectPr>
          <w:pgSz w:w="11900" w:h="16840"/>
          <w:pgMar w:top="1600" w:right="1340" w:bottom="280" w:left="1660" w:header="720" w:footer="720" w:gutter="0"/>
        </w:sectPr>
      </w:pPr>
    </w:p>
    <w:tbl>
      <w:tblPr>
        <w:tblStyle w:val="7"/>
        <w:tblW w:w="8347" w:type="dxa"/>
        <w:tblInd w:w="125"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1339"/>
        <w:gridCol w:w="7008"/>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90" w:hRule="atLeast"/>
        </w:trPr>
        <w:tc>
          <w:tcPr>
            <w:tcW w:w="1339" w:type="dxa"/>
            <w:vAlign w:val="center"/>
          </w:tcPr>
          <w:p>
            <w:pPr>
              <w:pStyle w:val="10"/>
              <w:jc w:val="center"/>
              <w:rPr>
                <w:rFonts w:ascii="Times New Roman"/>
                <w:sz w:val="22"/>
              </w:rPr>
            </w:pPr>
          </w:p>
        </w:tc>
        <w:tc>
          <w:tcPr>
            <w:tcW w:w="7008" w:type="dxa"/>
          </w:tcPr>
          <w:p>
            <w:pPr>
              <w:pStyle w:val="10"/>
              <w:spacing w:before="9"/>
              <w:rPr>
                <w:rFonts w:ascii="黑体"/>
                <w:sz w:val="38"/>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245" w:lineRule="auto"/>
              <w:ind w:left="6" w:right="261" w:firstLine="482"/>
              <w:jc w:val="both"/>
              <w:textAlignment w:val="auto"/>
              <w:outlineLvl w:val="9"/>
              <w:rPr>
                <w:color w:val="333333"/>
                <w:sz w:val="24"/>
                <w:szCs w:val="24"/>
              </w:rPr>
            </w:pPr>
            <w:r>
              <w:rPr>
                <w:b/>
                <w:bCs/>
                <w:color w:val="333333"/>
                <w:sz w:val="24"/>
                <w:szCs w:val="24"/>
              </w:rPr>
              <w:t>2、</w:t>
            </w:r>
            <w:r>
              <w:rPr>
                <w:color w:val="333333"/>
                <w:sz w:val="24"/>
                <w:szCs w:val="24"/>
              </w:rPr>
              <w:t>推进“四新”建设</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color w:val="333333"/>
                <w:sz w:val="24"/>
                <w:szCs w:val="24"/>
              </w:rPr>
            </w:pPr>
            <w:r>
              <w:rPr>
                <w:color w:val="333333"/>
                <w:sz w:val="24"/>
                <w:szCs w:val="24"/>
              </w:rPr>
              <w:t>推进“四新”建设，关键是把握“四新理念”，即新时代</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color w:val="333333"/>
                <w:sz w:val="24"/>
                <w:szCs w:val="24"/>
              </w:rPr>
            </w:pPr>
            <w:r>
              <w:rPr>
                <w:color w:val="333333"/>
                <w:sz w:val="24"/>
                <w:szCs w:val="24"/>
              </w:rPr>
              <w:t>、新使命、新思想和新征程。深刻理解和把握“新时代”，以全新的方位谋划坐标，把工作放到“中国特色社会主义进入新时代”这个新定位中来衡量，紧扣新矛盾，瞄准新目标，拿出新举措。学校对标教育部《关于加快建设高水平本科教育全面提高人才培养能力的意见》，运用信息化手段析出词云图，聚焦意见中的三大高频词“质量”“革命”“重塑”，出台《海南热带海洋学院振兴本科教育方案》，围绕深化教学改革、提高教师教书育人能力、推进一流专业建设、信息技术与教育教学深度融合、课程思政协同育人及质量文化建设等六个方面加强建设。</w:t>
            </w: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245" w:lineRule="auto"/>
              <w:ind w:left="6" w:right="261" w:firstLine="482"/>
              <w:jc w:val="both"/>
              <w:textAlignment w:val="auto"/>
              <w:outlineLvl w:val="9"/>
              <w:rPr>
                <w:color w:val="333333"/>
                <w:sz w:val="24"/>
                <w:szCs w:val="24"/>
              </w:rPr>
            </w:pPr>
            <w:r>
              <w:rPr>
                <w:b/>
                <w:bCs/>
                <w:color w:val="333333"/>
                <w:sz w:val="24"/>
                <w:szCs w:val="24"/>
              </w:rPr>
              <w:t>3、</w:t>
            </w:r>
            <w:r>
              <w:rPr>
                <w:color w:val="333333"/>
                <w:sz w:val="24"/>
                <w:szCs w:val="24"/>
              </w:rPr>
              <w:t>完善协同育人和实践教学机制</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color w:val="333333"/>
                <w:sz w:val="24"/>
                <w:szCs w:val="24"/>
              </w:rPr>
            </w:pPr>
            <w:r>
              <w:rPr>
                <w:color w:val="333333"/>
                <w:sz w:val="24"/>
                <w:szCs w:val="24"/>
              </w:rPr>
              <w:t>教育部产学合作协同育人项目，是国家为了本科人才培养质量，深化产教融合、校企合作，组织有关企业支持高校共同开展产学合作协同育人的项目。学校加快和海南省海洋与渔业科学院资源整合，与国家自然资源部南海局签订了框架协议， 奠定了海洋高校办学的重要基础。大力加强涉海专业集群建设</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color w:val="333333"/>
                <w:sz w:val="24"/>
                <w:szCs w:val="24"/>
              </w:rPr>
            </w:pPr>
            <w:r>
              <w:rPr>
                <w:color w:val="333333"/>
                <w:sz w:val="24"/>
                <w:szCs w:val="24"/>
              </w:rPr>
              <w:t>，突出海洋、生态、旅游、民族学科和专业特色办学地位，立足海南、面向南海，服务海洋强国战略，为海南自贸区港建设输送高质量人才。</w:t>
            </w: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245" w:lineRule="auto"/>
              <w:ind w:left="6" w:right="261" w:firstLine="482"/>
              <w:jc w:val="both"/>
              <w:textAlignment w:val="auto"/>
              <w:outlineLvl w:val="9"/>
              <w:rPr>
                <w:color w:val="333333"/>
                <w:sz w:val="24"/>
                <w:szCs w:val="24"/>
              </w:rPr>
            </w:pPr>
            <w:r>
              <w:rPr>
                <w:b/>
                <w:bCs/>
                <w:color w:val="333333"/>
                <w:sz w:val="24"/>
                <w:szCs w:val="24"/>
              </w:rPr>
              <w:t>4、</w:t>
            </w:r>
            <w:r>
              <w:rPr>
                <w:color w:val="333333"/>
                <w:sz w:val="24"/>
                <w:szCs w:val="24"/>
              </w:rPr>
              <w:t>培育以人才培养为中心的质量文化</w:t>
            </w:r>
          </w:p>
          <w:p>
            <w:pPr>
              <w:pStyle w:val="10"/>
              <w:keepNext w:val="0"/>
              <w:keepLines w:val="0"/>
              <w:pageBreakBefore w:val="0"/>
              <w:widowControl w:val="0"/>
              <w:kinsoku/>
              <w:wordWrap/>
              <w:overflowPunct/>
              <w:topLinePunct w:val="0"/>
              <w:autoSpaceDE w:val="0"/>
              <w:autoSpaceDN w:val="0"/>
              <w:bidi w:val="0"/>
              <w:adjustRightInd/>
              <w:snapToGrid/>
              <w:spacing w:before="0" w:line="245" w:lineRule="auto"/>
              <w:ind w:left="6" w:right="261" w:firstLine="482"/>
              <w:jc w:val="both"/>
              <w:textAlignment w:val="auto"/>
              <w:outlineLvl w:val="9"/>
              <w:rPr>
                <w:color w:val="333333"/>
                <w:sz w:val="24"/>
              </w:rPr>
            </w:pPr>
            <w:r>
              <w:rPr>
                <w:color w:val="333333"/>
                <w:sz w:val="24"/>
                <w:szCs w:val="24"/>
              </w:rPr>
              <w:t>以人才培养方案修订和提高教师课堂教学能力为抓手，制定路线图，绘制施工图，开展基于OBE理念的全校专业质量提升方案设计与实施工作。基于OBE理念对全校52个本科专业的人才培养方案、2000多门课程的教学大纲进行修订。首先努力将OBE理念落实到课程体系，其次确保OBE理念进课堂。举办教师教学能力提升专家工作坊，邀请国内深刻理解OBE理念、富有教研工作经验和教学经验的一线教育专家，进课堂、开讲座，与教师互动、分组讨论等多种形式，把脉课堂教学问题，督导OBE理念落地生根。</w:t>
            </w:r>
          </w:p>
        </w:tc>
      </w:tr>
    </w:tbl>
    <w:p>
      <w:pPr>
        <w:spacing w:after="0"/>
        <w:rPr>
          <w:sz w:val="21"/>
        </w:rPr>
        <w:sectPr>
          <w:pgSz w:w="11900" w:h="16840"/>
          <w:pgMar w:top="1600" w:right="1340" w:bottom="280" w:left="1660" w:header="720" w:footer="720" w:gutter="0"/>
        </w:sectPr>
      </w:pPr>
    </w:p>
    <w:tbl>
      <w:tblPr>
        <w:tblStyle w:val="7"/>
        <w:tblW w:w="834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9"/>
        <w:gridCol w:w="982"/>
        <w:gridCol w:w="463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1339" w:type="dxa"/>
            <w:vMerge w:val="restart"/>
            <w:vAlign w:val="center"/>
          </w:tcPr>
          <w:p>
            <w:pPr>
              <w:pStyle w:val="10"/>
              <w:spacing w:before="6"/>
              <w:jc w:val="center"/>
              <w:rPr>
                <w:rFonts w:ascii="黑体"/>
                <w:sz w:val="16"/>
              </w:rPr>
            </w:pPr>
          </w:p>
          <w:p>
            <w:pPr>
              <w:pStyle w:val="10"/>
              <w:spacing w:line="268" w:lineRule="auto"/>
              <w:ind w:left="187" w:right="294"/>
              <w:jc w:val="center"/>
              <w:rPr>
                <w:sz w:val="21"/>
              </w:rPr>
            </w:pPr>
            <w:r>
              <w:rPr>
                <w:color w:val="333333"/>
                <w:sz w:val="28"/>
                <w:szCs w:val="28"/>
              </w:rPr>
              <w:t>学校关于本科人才培养的重要政策文件 （ 限 10项）</w:t>
            </w:r>
          </w:p>
        </w:tc>
        <w:tc>
          <w:tcPr>
            <w:tcW w:w="982" w:type="dxa"/>
            <w:vAlign w:val="top"/>
          </w:tcPr>
          <w:p>
            <w:pPr>
              <w:pStyle w:val="10"/>
              <w:spacing w:before="151"/>
              <w:ind w:left="127" w:leftChars="0" w:right="0" w:rightChars="0"/>
              <w:jc w:val="center"/>
              <w:rPr>
                <w:rFonts w:ascii="Arial"/>
                <w:b/>
                <w:bCs/>
                <w:color w:val="333333"/>
                <w:sz w:val="28"/>
                <w:szCs w:val="28"/>
              </w:rPr>
            </w:pPr>
            <w:r>
              <w:rPr>
                <w:b/>
                <w:bCs/>
                <w:color w:val="333333"/>
                <w:sz w:val="28"/>
                <w:szCs w:val="28"/>
              </w:rPr>
              <w:t>序号</w:t>
            </w:r>
          </w:p>
        </w:tc>
        <w:tc>
          <w:tcPr>
            <w:tcW w:w="4635" w:type="dxa"/>
            <w:vAlign w:val="top"/>
          </w:tcPr>
          <w:p>
            <w:pPr>
              <w:pStyle w:val="10"/>
              <w:spacing w:before="151"/>
              <w:ind w:left="127" w:leftChars="0" w:right="0" w:rightChars="0"/>
              <w:jc w:val="center"/>
              <w:rPr>
                <w:rFonts w:hint="eastAsia"/>
                <w:b/>
                <w:bCs/>
                <w:color w:val="333333"/>
                <w:sz w:val="28"/>
                <w:szCs w:val="28"/>
              </w:rPr>
            </w:pPr>
            <w:r>
              <w:rPr>
                <w:b/>
                <w:bCs/>
                <w:color w:val="333333"/>
                <w:sz w:val="28"/>
                <w:szCs w:val="28"/>
              </w:rPr>
              <w:t>文件名称</w:t>
            </w:r>
          </w:p>
        </w:tc>
        <w:tc>
          <w:tcPr>
            <w:tcW w:w="1391" w:type="dxa"/>
            <w:vAlign w:val="top"/>
          </w:tcPr>
          <w:p>
            <w:pPr>
              <w:pStyle w:val="10"/>
              <w:spacing w:before="151"/>
              <w:ind w:left="126" w:leftChars="0" w:right="0" w:rightChars="0"/>
              <w:jc w:val="center"/>
              <w:rPr>
                <w:rFonts w:ascii="Arial"/>
                <w:b/>
                <w:bCs/>
                <w:color w:val="333333"/>
                <w:sz w:val="28"/>
                <w:szCs w:val="28"/>
              </w:rPr>
            </w:pPr>
            <w:r>
              <w:rPr>
                <w:b/>
                <w:bCs/>
                <w:color w:val="333333"/>
                <w:sz w:val="28"/>
                <w:szCs w:val="28"/>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pStyle w:val="10"/>
              <w:spacing w:line="268" w:lineRule="auto"/>
              <w:ind w:left="187" w:right="294"/>
              <w:rPr>
                <w:sz w:val="21"/>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1</w:t>
            </w:r>
          </w:p>
        </w:tc>
        <w:tc>
          <w:tcPr>
            <w:tcW w:w="4635" w:type="dxa"/>
          </w:tcPr>
          <w:p>
            <w:pPr>
              <w:pStyle w:val="10"/>
              <w:spacing w:before="151" w:line="268" w:lineRule="auto"/>
              <w:ind w:left="127" w:right="158"/>
              <w:rPr>
                <w:rFonts w:hint="eastAsia"/>
                <w:color w:val="333333"/>
                <w:sz w:val="24"/>
                <w:szCs w:val="24"/>
              </w:rPr>
            </w:pPr>
            <w:r>
              <w:rPr>
                <w:rFonts w:hint="eastAsia"/>
                <w:color w:val="333333"/>
                <w:sz w:val="24"/>
                <w:szCs w:val="24"/>
              </w:rPr>
              <w:t>海南热带海洋学院学年论文（课程设计）管理办法（试行）</w:t>
            </w:r>
          </w:p>
        </w:tc>
        <w:tc>
          <w:tcPr>
            <w:tcW w:w="1391" w:type="dxa"/>
          </w:tcPr>
          <w:p>
            <w:pPr>
              <w:pStyle w:val="10"/>
              <w:spacing w:before="3"/>
              <w:jc w:val="center"/>
              <w:rPr>
                <w:rFonts w:ascii="黑体"/>
                <w:sz w:val="24"/>
                <w:szCs w:val="24"/>
              </w:rPr>
            </w:pPr>
          </w:p>
          <w:p>
            <w:pPr>
              <w:pStyle w:val="10"/>
              <w:ind w:left="126"/>
              <w:jc w:val="center"/>
              <w:rPr>
                <w:rFonts w:hint="eastAsia" w:ascii="Arial" w:eastAsia="仿宋"/>
                <w:sz w:val="24"/>
                <w:szCs w:val="24"/>
                <w:lang w:val="en-US" w:eastAsia="zh-CN"/>
              </w:rPr>
            </w:pPr>
            <w:r>
              <w:rPr>
                <w:rFonts w:ascii="Arial"/>
                <w:color w:val="333333"/>
                <w:sz w:val="24"/>
                <w:szCs w:val="24"/>
              </w:rPr>
              <w:t>202</w:t>
            </w:r>
            <w:r>
              <w:rPr>
                <w:rFonts w:hint="eastAsia" w:ascii="Arial"/>
                <w:color w:val="333333"/>
                <w:sz w:val="24"/>
                <w:szCs w:val="24"/>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2</w:t>
            </w:r>
          </w:p>
        </w:tc>
        <w:tc>
          <w:tcPr>
            <w:tcW w:w="4635" w:type="dxa"/>
          </w:tcPr>
          <w:p>
            <w:pPr>
              <w:pStyle w:val="10"/>
              <w:spacing w:before="151" w:line="268" w:lineRule="auto"/>
              <w:ind w:left="127" w:right="158"/>
              <w:rPr>
                <w:rFonts w:hint="eastAsia"/>
                <w:color w:val="333333"/>
                <w:sz w:val="24"/>
                <w:szCs w:val="24"/>
              </w:rPr>
            </w:pPr>
            <w:r>
              <w:rPr>
                <w:rFonts w:hint="eastAsia"/>
                <w:color w:val="333333"/>
                <w:sz w:val="24"/>
                <w:szCs w:val="24"/>
              </w:rPr>
              <w:t>海南热带海洋学院第二学士学位管理实施细则（试行）</w:t>
            </w:r>
          </w:p>
        </w:tc>
        <w:tc>
          <w:tcPr>
            <w:tcW w:w="1391" w:type="dxa"/>
          </w:tcPr>
          <w:p>
            <w:pPr>
              <w:pStyle w:val="10"/>
              <w:spacing w:before="3"/>
              <w:jc w:val="center"/>
              <w:rPr>
                <w:rFonts w:ascii="黑体"/>
                <w:sz w:val="24"/>
                <w:szCs w:val="24"/>
              </w:rPr>
            </w:pPr>
          </w:p>
          <w:p>
            <w:pPr>
              <w:pStyle w:val="10"/>
              <w:ind w:left="126"/>
              <w:jc w:val="center"/>
              <w:rPr>
                <w:rFonts w:hint="eastAsia" w:ascii="Arial" w:eastAsia="仿宋"/>
                <w:sz w:val="24"/>
                <w:szCs w:val="24"/>
                <w:lang w:val="en-US" w:eastAsia="zh-CN"/>
              </w:rPr>
            </w:pPr>
            <w:r>
              <w:rPr>
                <w:rFonts w:ascii="Arial"/>
                <w:color w:val="333333"/>
                <w:sz w:val="24"/>
                <w:szCs w:val="24"/>
              </w:rPr>
              <w:t>20</w:t>
            </w:r>
            <w:r>
              <w:rPr>
                <w:rFonts w:hint="eastAsia" w:ascii="Arial"/>
                <w:color w:val="333333"/>
                <w:sz w:val="24"/>
                <w:szCs w:val="24"/>
                <w:lang w:val="en-US" w:eastAsia="zh-CN"/>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9"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3</w:t>
            </w:r>
          </w:p>
        </w:tc>
        <w:tc>
          <w:tcPr>
            <w:tcW w:w="4635" w:type="dxa"/>
            <w:vAlign w:val="top"/>
          </w:tcPr>
          <w:p>
            <w:pPr>
              <w:pStyle w:val="10"/>
              <w:spacing w:before="151" w:line="268" w:lineRule="auto"/>
              <w:ind w:right="158"/>
              <w:rPr>
                <w:rFonts w:hint="eastAsia"/>
                <w:color w:val="333333"/>
                <w:sz w:val="24"/>
                <w:szCs w:val="24"/>
              </w:rPr>
            </w:pPr>
            <w:r>
              <w:rPr>
                <w:rFonts w:hint="eastAsia"/>
                <w:color w:val="333333"/>
                <w:sz w:val="24"/>
                <w:szCs w:val="24"/>
              </w:rPr>
              <w:t>教材管理办法（修订）</w:t>
            </w:r>
          </w:p>
        </w:tc>
        <w:tc>
          <w:tcPr>
            <w:tcW w:w="1391" w:type="dxa"/>
            <w:vAlign w:val="top"/>
          </w:tcPr>
          <w:p>
            <w:pPr>
              <w:pStyle w:val="10"/>
              <w:jc w:val="center"/>
              <w:rPr>
                <w:rFonts w:ascii="Arial"/>
                <w:color w:val="333333"/>
                <w:sz w:val="24"/>
                <w:szCs w:val="24"/>
              </w:rPr>
            </w:pPr>
          </w:p>
          <w:p>
            <w:pPr>
              <w:pStyle w:val="10"/>
              <w:ind w:left="0" w:leftChars="0" w:right="0" w:rightChars="0"/>
              <w:jc w:val="center"/>
              <w:rPr>
                <w:rFonts w:hint="eastAsia" w:ascii="Arial" w:eastAsia="仿宋"/>
                <w:sz w:val="24"/>
                <w:szCs w:val="24"/>
                <w:lang w:val="en-US" w:eastAsia="zh-CN"/>
              </w:rPr>
            </w:pPr>
            <w:r>
              <w:rPr>
                <w:rFonts w:ascii="Arial"/>
                <w:color w:val="333333"/>
                <w:sz w:val="24"/>
                <w:szCs w:val="24"/>
              </w:rPr>
              <w:t>20</w:t>
            </w:r>
            <w:r>
              <w:rPr>
                <w:rFonts w:hint="eastAsia" w:ascii="Arial"/>
                <w:color w:val="333333"/>
                <w:sz w:val="24"/>
                <w:szCs w:val="24"/>
                <w:lang w:val="en-US" w:eastAsia="zh-CN"/>
              </w:rPr>
              <w:t>21</w:t>
            </w:r>
            <w:r>
              <w:rPr>
                <w:rFonts w:ascii="Arial"/>
                <w:color w:val="333333"/>
                <w:sz w:val="24"/>
                <w:szCs w:val="24"/>
              </w:rPr>
              <w:t>-</w:t>
            </w:r>
            <w:r>
              <w:rPr>
                <w:rFonts w:hint="eastAsia" w:ascii="Arial"/>
                <w:color w:val="333333"/>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rPr>
        <w:tc>
          <w:tcPr>
            <w:tcW w:w="1339" w:type="dxa"/>
            <w:vMerge w:val="continue"/>
          </w:tcPr>
          <w:p>
            <w:pPr>
              <w:rPr>
                <w:sz w:val="2"/>
                <w:szCs w:val="2"/>
              </w:rPr>
            </w:pPr>
          </w:p>
        </w:tc>
        <w:tc>
          <w:tcPr>
            <w:tcW w:w="982" w:type="dxa"/>
          </w:tcPr>
          <w:p>
            <w:pPr>
              <w:pStyle w:val="10"/>
              <w:spacing w:before="10"/>
              <w:jc w:val="center"/>
              <w:rPr>
                <w:rFonts w:ascii="黑体"/>
                <w:sz w:val="24"/>
                <w:szCs w:val="24"/>
              </w:rPr>
            </w:pPr>
          </w:p>
          <w:p>
            <w:pPr>
              <w:pStyle w:val="10"/>
              <w:ind w:left="127"/>
              <w:jc w:val="center"/>
              <w:rPr>
                <w:rFonts w:ascii="Arial"/>
                <w:sz w:val="24"/>
                <w:szCs w:val="24"/>
              </w:rPr>
            </w:pPr>
            <w:r>
              <w:rPr>
                <w:rFonts w:ascii="Arial"/>
                <w:color w:val="333333"/>
                <w:sz w:val="24"/>
                <w:szCs w:val="24"/>
              </w:rPr>
              <w:t>4</w:t>
            </w:r>
          </w:p>
        </w:tc>
        <w:tc>
          <w:tcPr>
            <w:tcW w:w="4635" w:type="dxa"/>
          </w:tcPr>
          <w:p>
            <w:pPr>
              <w:spacing w:before="2" w:line="268" w:lineRule="auto"/>
              <w:ind w:left="0" w:leftChars="0" w:right="0" w:rightChars="0"/>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海南热带海洋学院一流本科课程建设与管理办法</w:t>
            </w:r>
          </w:p>
        </w:tc>
        <w:tc>
          <w:tcPr>
            <w:tcW w:w="1391" w:type="dxa"/>
          </w:tcPr>
          <w:p>
            <w:pPr>
              <w:ind w:left="0" w:leftChars="0" w:right="0" w:rightChars="0"/>
              <w:jc w:val="center"/>
              <w:rPr>
                <w:rFonts w:hint="eastAsia" w:ascii="Arial" w:eastAsia="仿宋"/>
                <w:sz w:val="24"/>
                <w:szCs w:val="24"/>
                <w:lang w:val="en-US" w:eastAsia="zh-CN"/>
              </w:rPr>
            </w:pPr>
            <w:r>
              <w:rPr>
                <w:rFonts w:hint="eastAsia" w:ascii="Arial"/>
                <w:sz w:val="24"/>
                <w:szCs w:val="24"/>
                <w:lang w:val="en-US" w:eastAsia="zh-CN"/>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5</w:t>
            </w:r>
          </w:p>
        </w:tc>
        <w:tc>
          <w:tcPr>
            <w:tcW w:w="4635" w:type="dxa"/>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海南热带海洋学院关于修订本科专业人才培养方案的原则意见</w:t>
            </w:r>
          </w:p>
        </w:tc>
        <w:tc>
          <w:tcPr>
            <w:tcW w:w="1391" w:type="dxa"/>
          </w:tcPr>
          <w:p>
            <w:pPr>
              <w:pStyle w:val="10"/>
              <w:spacing w:before="3"/>
              <w:jc w:val="center"/>
              <w:rPr>
                <w:rFonts w:ascii="黑体"/>
                <w:sz w:val="24"/>
                <w:szCs w:val="24"/>
              </w:rPr>
            </w:pPr>
          </w:p>
          <w:p>
            <w:pPr>
              <w:pStyle w:val="10"/>
              <w:ind w:left="126"/>
              <w:jc w:val="center"/>
              <w:rPr>
                <w:rFonts w:hint="eastAsia" w:ascii="Arial" w:eastAsia="仿宋"/>
                <w:sz w:val="24"/>
                <w:szCs w:val="24"/>
                <w:lang w:val="en-US" w:eastAsia="zh-CN"/>
              </w:rPr>
            </w:pPr>
            <w:r>
              <w:rPr>
                <w:rFonts w:ascii="Arial"/>
                <w:color w:val="333333"/>
                <w:sz w:val="24"/>
                <w:szCs w:val="24"/>
              </w:rPr>
              <w:t>20</w:t>
            </w:r>
            <w:r>
              <w:rPr>
                <w:rFonts w:hint="eastAsia" w:ascii="Arial"/>
                <w:color w:val="333333"/>
                <w:sz w:val="24"/>
                <w:szCs w:val="24"/>
                <w:lang w:val="en-US" w:eastAsia="zh-CN"/>
              </w:rPr>
              <w:t>21</w:t>
            </w:r>
            <w:bookmarkStart w:id="1" w:name="_GoBack"/>
            <w:bookmarkEnd w:id="1"/>
            <w:r>
              <w:rPr>
                <w:rFonts w:hint="eastAsia" w:ascii="Arial"/>
                <w:color w:val="333333"/>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6</w:t>
            </w:r>
          </w:p>
        </w:tc>
        <w:tc>
          <w:tcPr>
            <w:tcW w:w="4635" w:type="dxa"/>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海南热带海洋学院课程思政建设工作方案</w:t>
            </w:r>
          </w:p>
        </w:tc>
        <w:tc>
          <w:tcPr>
            <w:tcW w:w="1391" w:type="dxa"/>
          </w:tcPr>
          <w:p>
            <w:pPr>
              <w:pStyle w:val="10"/>
              <w:spacing w:before="3"/>
              <w:jc w:val="center"/>
              <w:rPr>
                <w:rFonts w:ascii="黑体"/>
                <w:sz w:val="24"/>
                <w:szCs w:val="24"/>
              </w:rPr>
            </w:pPr>
          </w:p>
          <w:p>
            <w:pPr>
              <w:pStyle w:val="10"/>
              <w:ind w:left="126"/>
              <w:jc w:val="center"/>
              <w:rPr>
                <w:rFonts w:hint="eastAsia" w:ascii="Arial" w:eastAsia="仿宋"/>
                <w:sz w:val="24"/>
                <w:szCs w:val="24"/>
                <w:lang w:val="en-US" w:eastAsia="zh-CN"/>
              </w:rPr>
            </w:pPr>
            <w:r>
              <w:rPr>
                <w:rFonts w:ascii="Arial"/>
                <w:color w:val="333333"/>
                <w:sz w:val="24"/>
                <w:szCs w:val="24"/>
              </w:rPr>
              <w:t>20</w:t>
            </w:r>
            <w:r>
              <w:rPr>
                <w:rFonts w:hint="eastAsia" w:ascii="Arial"/>
                <w:color w:val="333333"/>
                <w:sz w:val="24"/>
                <w:szCs w:val="24"/>
                <w:lang w:val="en-US" w:eastAsia="zh-CN"/>
              </w:rPr>
              <w:t>20</w:t>
            </w:r>
            <w:r>
              <w:rPr>
                <w:rFonts w:ascii="Arial"/>
                <w:color w:val="333333"/>
                <w:sz w:val="24"/>
                <w:szCs w:val="24"/>
              </w:rPr>
              <w:t>-</w:t>
            </w:r>
            <w:r>
              <w:rPr>
                <w:rFonts w:hint="eastAsia" w:ascii="Arial"/>
                <w:color w:val="333333"/>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7</w:t>
            </w:r>
          </w:p>
        </w:tc>
        <w:tc>
          <w:tcPr>
            <w:tcW w:w="4635" w:type="dxa"/>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中共海南热带海洋学院委员会深化新时代思想政治理论课改革创新实施方案</w:t>
            </w:r>
          </w:p>
        </w:tc>
        <w:tc>
          <w:tcPr>
            <w:tcW w:w="1391" w:type="dxa"/>
          </w:tcPr>
          <w:p>
            <w:pPr>
              <w:pStyle w:val="10"/>
              <w:spacing w:before="3"/>
              <w:jc w:val="center"/>
              <w:rPr>
                <w:rFonts w:ascii="黑体"/>
                <w:sz w:val="24"/>
                <w:szCs w:val="24"/>
              </w:rPr>
            </w:pPr>
          </w:p>
          <w:p>
            <w:pPr>
              <w:pStyle w:val="10"/>
              <w:ind w:left="126"/>
              <w:jc w:val="center"/>
              <w:rPr>
                <w:rFonts w:hint="eastAsia" w:ascii="Arial" w:eastAsia="仿宋"/>
                <w:sz w:val="24"/>
                <w:szCs w:val="24"/>
                <w:lang w:val="en-US" w:eastAsia="zh-CN"/>
              </w:rPr>
            </w:pPr>
            <w:r>
              <w:rPr>
                <w:rFonts w:ascii="Arial"/>
                <w:color w:val="333333"/>
                <w:sz w:val="24"/>
                <w:szCs w:val="24"/>
              </w:rPr>
              <w:t>20</w:t>
            </w:r>
            <w:r>
              <w:rPr>
                <w:rFonts w:hint="eastAsia" w:ascii="Arial"/>
                <w:color w:val="333333"/>
                <w:sz w:val="24"/>
                <w:szCs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8</w:t>
            </w:r>
          </w:p>
        </w:tc>
        <w:tc>
          <w:tcPr>
            <w:tcW w:w="4635" w:type="dxa"/>
            <w:vAlign w:val="top"/>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海南热带海洋学院一流本科专业建设方案</w:t>
            </w:r>
          </w:p>
        </w:tc>
        <w:tc>
          <w:tcPr>
            <w:tcW w:w="1391" w:type="dxa"/>
            <w:vAlign w:val="top"/>
          </w:tcPr>
          <w:p>
            <w:pPr>
              <w:pStyle w:val="10"/>
              <w:spacing w:before="3"/>
              <w:jc w:val="center"/>
              <w:rPr>
                <w:rFonts w:ascii="黑体"/>
                <w:sz w:val="24"/>
                <w:szCs w:val="24"/>
              </w:rPr>
            </w:pPr>
          </w:p>
          <w:p>
            <w:pPr>
              <w:pStyle w:val="10"/>
              <w:ind w:left="126" w:leftChars="0" w:right="0" w:rightChars="0"/>
              <w:jc w:val="center"/>
              <w:rPr>
                <w:rFonts w:ascii="Arial"/>
                <w:sz w:val="24"/>
                <w:szCs w:val="24"/>
              </w:rPr>
            </w:pPr>
            <w:r>
              <w:rPr>
                <w:rFonts w:ascii="Arial"/>
                <w:color w:val="333333"/>
                <w:sz w:val="24"/>
                <w:szCs w:val="24"/>
              </w:rPr>
              <w:t>2019-10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1339" w:type="dxa"/>
            <w:vMerge w:val="continue"/>
          </w:tcPr>
          <w:p>
            <w:pPr>
              <w:rPr>
                <w:sz w:val="2"/>
                <w:szCs w:val="2"/>
              </w:rPr>
            </w:pPr>
          </w:p>
        </w:tc>
        <w:tc>
          <w:tcPr>
            <w:tcW w:w="982" w:type="dxa"/>
          </w:tcPr>
          <w:p>
            <w:pPr>
              <w:pStyle w:val="10"/>
              <w:spacing w:before="147"/>
              <w:ind w:left="127"/>
              <w:jc w:val="center"/>
              <w:rPr>
                <w:rFonts w:ascii="Arial"/>
                <w:sz w:val="24"/>
                <w:szCs w:val="24"/>
              </w:rPr>
            </w:pPr>
            <w:r>
              <w:rPr>
                <w:rFonts w:ascii="Arial"/>
                <w:color w:val="333333"/>
                <w:sz w:val="24"/>
                <w:szCs w:val="24"/>
              </w:rPr>
              <w:t>9</w:t>
            </w:r>
          </w:p>
        </w:tc>
        <w:tc>
          <w:tcPr>
            <w:tcW w:w="4635" w:type="dxa"/>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海南热带海洋学院专业建设与管理办法（试行）</w:t>
            </w:r>
          </w:p>
        </w:tc>
        <w:tc>
          <w:tcPr>
            <w:tcW w:w="1391" w:type="dxa"/>
          </w:tcPr>
          <w:p>
            <w:pPr>
              <w:pStyle w:val="10"/>
              <w:spacing w:before="147"/>
              <w:ind w:left="126"/>
              <w:jc w:val="center"/>
              <w:rPr>
                <w:rFonts w:hint="eastAsia" w:ascii="Arial" w:eastAsia="仿宋"/>
                <w:sz w:val="24"/>
                <w:szCs w:val="24"/>
                <w:lang w:eastAsia="zh-CN"/>
              </w:rPr>
            </w:pPr>
            <w:r>
              <w:rPr>
                <w:rFonts w:ascii="Arial"/>
                <w:color w:val="333333"/>
                <w:sz w:val="24"/>
                <w:szCs w:val="24"/>
              </w:rPr>
              <w:t>2019-0</w:t>
            </w:r>
            <w:r>
              <w:rPr>
                <w:rFonts w:hint="eastAsia" w:ascii="Arial"/>
                <w:color w:val="333333"/>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trPr>
        <w:tc>
          <w:tcPr>
            <w:tcW w:w="1339" w:type="dxa"/>
            <w:vMerge w:val="continue"/>
          </w:tcPr>
          <w:p>
            <w:pPr>
              <w:rPr>
                <w:sz w:val="2"/>
                <w:szCs w:val="2"/>
              </w:rPr>
            </w:pPr>
          </w:p>
        </w:tc>
        <w:tc>
          <w:tcPr>
            <w:tcW w:w="982" w:type="dxa"/>
          </w:tcPr>
          <w:p>
            <w:pPr>
              <w:pStyle w:val="10"/>
              <w:spacing w:before="3"/>
              <w:jc w:val="center"/>
              <w:rPr>
                <w:rFonts w:ascii="黑体"/>
                <w:sz w:val="24"/>
                <w:szCs w:val="24"/>
              </w:rPr>
            </w:pPr>
          </w:p>
          <w:p>
            <w:pPr>
              <w:pStyle w:val="10"/>
              <w:ind w:left="127"/>
              <w:jc w:val="center"/>
              <w:rPr>
                <w:rFonts w:ascii="Arial"/>
                <w:sz w:val="24"/>
                <w:szCs w:val="24"/>
              </w:rPr>
            </w:pPr>
            <w:r>
              <w:rPr>
                <w:rFonts w:ascii="Arial"/>
                <w:color w:val="333333"/>
                <w:sz w:val="24"/>
                <w:szCs w:val="24"/>
              </w:rPr>
              <w:t>10</w:t>
            </w:r>
          </w:p>
        </w:tc>
        <w:tc>
          <w:tcPr>
            <w:tcW w:w="4635" w:type="dxa"/>
          </w:tcPr>
          <w:p>
            <w:pPr>
              <w:pStyle w:val="10"/>
              <w:spacing w:before="151" w:line="268" w:lineRule="auto"/>
              <w:ind w:left="127" w:right="158"/>
              <w:rPr>
                <w:rFonts w:hint="eastAsia" w:ascii="仿宋" w:hAnsi="仿宋" w:eastAsia="仿宋" w:cs="仿宋"/>
                <w:color w:val="333333"/>
                <w:sz w:val="24"/>
                <w:szCs w:val="24"/>
                <w:lang w:val="zh-CN" w:eastAsia="zh-CN" w:bidi="zh-CN"/>
              </w:rPr>
            </w:pPr>
            <w:r>
              <w:rPr>
                <w:rFonts w:hint="eastAsia" w:ascii="仿宋" w:hAnsi="仿宋" w:eastAsia="仿宋" w:cs="仿宋"/>
                <w:color w:val="333333"/>
                <w:sz w:val="24"/>
                <w:szCs w:val="24"/>
                <w:lang w:val="zh-CN" w:eastAsia="zh-CN" w:bidi="zh-CN"/>
              </w:rPr>
              <w:t>海南热带海洋学院振兴本科教育实施方案</w:t>
            </w:r>
          </w:p>
        </w:tc>
        <w:tc>
          <w:tcPr>
            <w:tcW w:w="1391" w:type="dxa"/>
          </w:tcPr>
          <w:p>
            <w:pPr>
              <w:pStyle w:val="10"/>
              <w:spacing w:before="3"/>
              <w:jc w:val="center"/>
              <w:rPr>
                <w:rFonts w:ascii="黑体"/>
                <w:sz w:val="24"/>
                <w:szCs w:val="24"/>
              </w:rPr>
            </w:pPr>
          </w:p>
          <w:p>
            <w:pPr>
              <w:pStyle w:val="10"/>
              <w:ind w:left="126"/>
              <w:jc w:val="center"/>
              <w:rPr>
                <w:rFonts w:ascii="Arial"/>
                <w:sz w:val="24"/>
                <w:szCs w:val="24"/>
              </w:rPr>
            </w:pPr>
            <w:r>
              <w:rPr>
                <w:rFonts w:ascii="Arial"/>
                <w:color w:val="333333"/>
                <w:sz w:val="24"/>
                <w:szCs w:val="24"/>
              </w:rPr>
              <w:t>2019-01</w:t>
            </w:r>
          </w:p>
        </w:tc>
      </w:tr>
    </w:tbl>
    <w:p>
      <w:pPr>
        <w:spacing w:after="0"/>
        <w:rPr>
          <w:rFonts w:ascii="Arial"/>
          <w:sz w:val="21"/>
        </w:rPr>
        <w:sectPr>
          <w:pgSz w:w="11900" w:h="16840"/>
          <w:pgMar w:top="1600" w:right="1340" w:bottom="280" w:left="1660" w:header="720" w:footer="720" w:gutter="0"/>
        </w:sectPr>
      </w:pPr>
    </w:p>
    <w:p>
      <w:pPr>
        <w:pStyle w:val="4"/>
        <w:spacing w:before="3"/>
        <w:rPr>
          <w:rFonts w:ascii="黑体"/>
          <w:sz w:val="12"/>
        </w:rPr>
      </w:pPr>
    </w:p>
    <w:p>
      <w:pPr>
        <w:spacing w:before="58"/>
        <w:ind w:left="110" w:right="0" w:firstLine="0"/>
        <w:jc w:val="left"/>
        <w:rPr>
          <w:rFonts w:hint="eastAsia" w:ascii="黑体" w:eastAsia="黑体"/>
          <w:sz w:val="30"/>
        </w:rPr>
      </w:pPr>
      <w:r>
        <w:rPr>
          <w:rFonts w:hint="eastAsia" w:ascii="黑体" w:eastAsia="黑体"/>
          <w:sz w:val="30"/>
        </w:rPr>
        <w:t>二、报送专业情况</w:t>
      </w:r>
    </w:p>
    <w:p>
      <w:pPr>
        <w:pStyle w:val="4"/>
        <w:spacing w:before="3"/>
        <w:rPr>
          <w:rFonts w:ascii="黑体"/>
          <w:sz w:val="21"/>
        </w:rPr>
      </w:pPr>
    </w:p>
    <w:p>
      <w:pPr>
        <w:spacing w:before="0"/>
        <w:ind w:left="110" w:right="0" w:firstLine="0"/>
        <w:jc w:val="left"/>
        <w:rPr>
          <w:rFonts w:hint="eastAsia" w:ascii="楷体" w:eastAsia="楷体"/>
          <w:sz w:val="30"/>
        </w:rPr>
      </w:pPr>
      <w:r>
        <w:rPr>
          <w:rFonts w:hint="eastAsia" w:ascii="楷体" w:eastAsia="楷体"/>
          <w:sz w:val="30"/>
        </w:rPr>
        <w:t>1.专业基本情况</w:t>
      </w:r>
    </w:p>
    <w:p>
      <w:pPr>
        <w:pStyle w:val="4"/>
        <w:spacing w:before="11"/>
        <w:rPr>
          <w:rFonts w:ascii="楷体"/>
          <w:sz w:val="11"/>
        </w:rPr>
      </w:pPr>
    </w:p>
    <w:tbl>
      <w:tblPr>
        <w:tblStyle w:val="7"/>
        <w:tblW w:w="8344" w:type="dxa"/>
        <w:tblInd w:w="125"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2503"/>
        <w:gridCol w:w="1669"/>
        <w:gridCol w:w="2229"/>
        <w:gridCol w:w="1943"/>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467" w:hRule="atLeast"/>
        </w:trPr>
        <w:tc>
          <w:tcPr>
            <w:tcW w:w="2503" w:type="dxa"/>
            <w:vAlign w:val="center"/>
          </w:tcPr>
          <w:p>
            <w:pPr>
              <w:pStyle w:val="10"/>
              <w:jc w:val="center"/>
              <w:rPr>
                <w:sz w:val="24"/>
                <w:szCs w:val="24"/>
              </w:rPr>
            </w:pPr>
            <w:r>
              <w:rPr>
                <w:color w:val="333333"/>
                <w:sz w:val="24"/>
                <w:szCs w:val="24"/>
              </w:rPr>
              <w:t>专业名称</w:t>
            </w:r>
          </w:p>
        </w:tc>
        <w:tc>
          <w:tcPr>
            <w:tcW w:w="1669" w:type="dxa"/>
            <w:vAlign w:val="center"/>
          </w:tcPr>
          <w:p>
            <w:pPr>
              <w:pStyle w:val="10"/>
              <w:jc w:val="center"/>
              <w:rPr>
                <w:sz w:val="24"/>
                <w:szCs w:val="24"/>
              </w:rPr>
            </w:pPr>
          </w:p>
        </w:tc>
        <w:tc>
          <w:tcPr>
            <w:tcW w:w="2229" w:type="dxa"/>
            <w:vAlign w:val="center"/>
          </w:tcPr>
          <w:p>
            <w:pPr>
              <w:pStyle w:val="10"/>
              <w:jc w:val="center"/>
              <w:rPr>
                <w:sz w:val="24"/>
                <w:szCs w:val="24"/>
              </w:rPr>
            </w:pPr>
            <w:r>
              <w:rPr>
                <w:color w:val="333333"/>
                <w:sz w:val="24"/>
                <w:szCs w:val="24"/>
              </w:rPr>
              <w:t>专业代码</w:t>
            </w:r>
          </w:p>
        </w:tc>
        <w:tc>
          <w:tcPr>
            <w:tcW w:w="1943" w:type="dxa"/>
            <w:vAlign w:val="center"/>
          </w:tcPr>
          <w:p>
            <w:pPr>
              <w:pStyle w:val="10"/>
              <w:spacing w:before="1"/>
              <w:jc w:val="center"/>
              <w:rPr>
                <w:rFonts w:ascii="Arial"/>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467" w:hRule="atLeast"/>
        </w:trPr>
        <w:tc>
          <w:tcPr>
            <w:tcW w:w="2503" w:type="dxa"/>
            <w:vAlign w:val="center"/>
          </w:tcPr>
          <w:p>
            <w:pPr>
              <w:pStyle w:val="10"/>
              <w:jc w:val="center"/>
              <w:rPr>
                <w:sz w:val="24"/>
                <w:szCs w:val="24"/>
              </w:rPr>
            </w:pPr>
            <w:r>
              <w:rPr>
                <w:color w:val="333333"/>
                <w:sz w:val="24"/>
                <w:szCs w:val="24"/>
              </w:rPr>
              <w:t>修业年限</w:t>
            </w:r>
          </w:p>
        </w:tc>
        <w:tc>
          <w:tcPr>
            <w:tcW w:w="1669" w:type="dxa"/>
            <w:vAlign w:val="center"/>
          </w:tcPr>
          <w:p>
            <w:pPr>
              <w:pStyle w:val="10"/>
              <w:jc w:val="center"/>
              <w:rPr>
                <w:sz w:val="24"/>
                <w:szCs w:val="24"/>
              </w:rPr>
            </w:pPr>
          </w:p>
        </w:tc>
        <w:tc>
          <w:tcPr>
            <w:tcW w:w="2229" w:type="dxa"/>
            <w:vAlign w:val="center"/>
          </w:tcPr>
          <w:p>
            <w:pPr>
              <w:pStyle w:val="10"/>
              <w:jc w:val="center"/>
              <w:rPr>
                <w:sz w:val="24"/>
                <w:szCs w:val="24"/>
              </w:rPr>
            </w:pPr>
            <w:r>
              <w:rPr>
                <w:color w:val="333333"/>
                <w:sz w:val="24"/>
                <w:szCs w:val="24"/>
              </w:rPr>
              <w:t>学位授予门类</w:t>
            </w:r>
          </w:p>
        </w:tc>
        <w:tc>
          <w:tcPr>
            <w:tcW w:w="1943" w:type="dxa"/>
            <w:vAlign w:val="center"/>
          </w:tcPr>
          <w:p>
            <w:pPr>
              <w:pStyle w:val="10"/>
              <w:jc w:val="center"/>
              <w:rPr>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422" w:hRule="atLeast"/>
        </w:trPr>
        <w:tc>
          <w:tcPr>
            <w:tcW w:w="2503" w:type="dxa"/>
            <w:vAlign w:val="center"/>
          </w:tcPr>
          <w:p>
            <w:pPr>
              <w:pStyle w:val="10"/>
              <w:jc w:val="center"/>
              <w:rPr>
                <w:sz w:val="24"/>
                <w:szCs w:val="24"/>
              </w:rPr>
            </w:pPr>
            <w:r>
              <w:rPr>
                <w:color w:val="333333"/>
                <w:sz w:val="24"/>
                <w:szCs w:val="24"/>
              </w:rPr>
              <w:t>专业设立时间</w:t>
            </w:r>
          </w:p>
        </w:tc>
        <w:tc>
          <w:tcPr>
            <w:tcW w:w="1669" w:type="dxa"/>
            <w:vAlign w:val="center"/>
          </w:tcPr>
          <w:p>
            <w:pPr>
              <w:pStyle w:val="10"/>
              <w:jc w:val="center"/>
              <w:rPr>
                <w:sz w:val="24"/>
                <w:szCs w:val="24"/>
              </w:rPr>
            </w:pPr>
          </w:p>
        </w:tc>
        <w:tc>
          <w:tcPr>
            <w:tcW w:w="2229" w:type="dxa"/>
            <w:vAlign w:val="center"/>
          </w:tcPr>
          <w:p>
            <w:pPr>
              <w:pStyle w:val="10"/>
              <w:jc w:val="center"/>
              <w:rPr>
                <w:sz w:val="24"/>
                <w:szCs w:val="24"/>
              </w:rPr>
            </w:pPr>
            <w:r>
              <w:rPr>
                <w:color w:val="333333"/>
                <w:sz w:val="24"/>
                <w:szCs w:val="24"/>
              </w:rPr>
              <w:t>所在院系名称</w:t>
            </w:r>
          </w:p>
        </w:tc>
        <w:tc>
          <w:tcPr>
            <w:tcW w:w="1943" w:type="dxa"/>
            <w:vAlign w:val="center"/>
          </w:tcPr>
          <w:p>
            <w:pPr>
              <w:pStyle w:val="10"/>
              <w:jc w:val="center"/>
              <w:rPr>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392" w:hRule="atLeast"/>
        </w:trPr>
        <w:tc>
          <w:tcPr>
            <w:tcW w:w="2503" w:type="dxa"/>
            <w:vAlign w:val="center"/>
          </w:tcPr>
          <w:p>
            <w:pPr>
              <w:pStyle w:val="10"/>
              <w:jc w:val="center"/>
              <w:rPr>
                <w:sz w:val="24"/>
                <w:szCs w:val="24"/>
              </w:rPr>
            </w:pPr>
            <w:r>
              <w:rPr>
                <w:color w:val="333333"/>
                <w:sz w:val="24"/>
                <w:szCs w:val="24"/>
              </w:rPr>
              <w:t>专业总学分</w:t>
            </w:r>
          </w:p>
        </w:tc>
        <w:tc>
          <w:tcPr>
            <w:tcW w:w="1669" w:type="dxa"/>
            <w:vAlign w:val="center"/>
          </w:tcPr>
          <w:p>
            <w:pPr>
              <w:pStyle w:val="10"/>
              <w:jc w:val="center"/>
              <w:rPr>
                <w:sz w:val="24"/>
                <w:szCs w:val="24"/>
              </w:rPr>
            </w:pPr>
          </w:p>
        </w:tc>
        <w:tc>
          <w:tcPr>
            <w:tcW w:w="2229" w:type="dxa"/>
            <w:vAlign w:val="center"/>
          </w:tcPr>
          <w:p>
            <w:pPr>
              <w:pStyle w:val="10"/>
              <w:jc w:val="center"/>
              <w:rPr>
                <w:sz w:val="24"/>
                <w:szCs w:val="24"/>
              </w:rPr>
            </w:pPr>
            <w:r>
              <w:rPr>
                <w:color w:val="333333"/>
                <w:sz w:val="24"/>
                <w:szCs w:val="24"/>
              </w:rPr>
              <w:t>专业总学时</w:t>
            </w:r>
          </w:p>
        </w:tc>
        <w:tc>
          <w:tcPr>
            <w:tcW w:w="1943" w:type="dxa"/>
            <w:vAlign w:val="center"/>
          </w:tcPr>
          <w:p>
            <w:pPr>
              <w:pStyle w:val="10"/>
              <w:jc w:val="center"/>
              <w:rPr>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287" w:hRule="atLeast"/>
        </w:trPr>
        <w:tc>
          <w:tcPr>
            <w:tcW w:w="4172" w:type="dxa"/>
            <w:gridSpan w:val="2"/>
            <w:vAlign w:val="center"/>
          </w:tcPr>
          <w:p>
            <w:pPr>
              <w:pStyle w:val="10"/>
              <w:jc w:val="center"/>
              <w:rPr>
                <w:sz w:val="24"/>
                <w:szCs w:val="24"/>
              </w:rPr>
            </w:pPr>
            <w:r>
              <w:rPr>
                <w:color w:val="333333"/>
                <w:sz w:val="24"/>
                <w:szCs w:val="24"/>
              </w:rPr>
              <w:t>实践教学环节学分占总学分比例（%）</w:t>
            </w:r>
          </w:p>
        </w:tc>
        <w:tc>
          <w:tcPr>
            <w:tcW w:w="4172" w:type="dxa"/>
            <w:gridSpan w:val="2"/>
            <w:vAlign w:val="center"/>
          </w:tcPr>
          <w:p>
            <w:pPr>
              <w:pStyle w:val="10"/>
              <w:spacing w:before="1"/>
              <w:jc w:val="center"/>
              <w:rPr>
                <w:rFonts w:ascii="Arial"/>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287" w:hRule="atLeast"/>
        </w:trPr>
        <w:tc>
          <w:tcPr>
            <w:tcW w:w="4172" w:type="dxa"/>
            <w:gridSpan w:val="2"/>
            <w:vAlign w:val="center"/>
          </w:tcPr>
          <w:p>
            <w:pPr>
              <w:pStyle w:val="10"/>
              <w:jc w:val="center"/>
              <w:rPr>
                <w:sz w:val="24"/>
                <w:szCs w:val="24"/>
              </w:rPr>
            </w:pPr>
            <w:r>
              <w:rPr>
                <w:color w:val="333333"/>
                <w:sz w:val="24"/>
                <w:szCs w:val="24"/>
              </w:rPr>
              <w:t>本专业教授给本科生上课的比例（%）</w:t>
            </w:r>
          </w:p>
        </w:tc>
        <w:tc>
          <w:tcPr>
            <w:tcW w:w="4172" w:type="dxa"/>
            <w:gridSpan w:val="2"/>
            <w:vAlign w:val="center"/>
          </w:tcPr>
          <w:p>
            <w:pPr>
              <w:pStyle w:val="10"/>
              <w:spacing w:before="1"/>
              <w:jc w:val="center"/>
              <w:rPr>
                <w:rFonts w:ascii="Arial"/>
                <w:sz w:val="24"/>
                <w:szCs w:val="24"/>
              </w:rPr>
            </w:pPr>
          </w:p>
        </w:tc>
      </w:tr>
    </w:tbl>
    <w:p>
      <w:pPr>
        <w:spacing w:before="0"/>
        <w:ind w:left="110" w:right="0" w:firstLine="0"/>
        <w:jc w:val="left"/>
        <w:rPr>
          <w:sz w:val="18"/>
        </w:rPr>
      </w:pPr>
      <w:r>
        <w:rPr>
          <w:sz w:val="18"/>
        </w:rPr>
        <w:t>注：以上数据填报口径为20</w:t>
      </w:r>
      <w:r>
        <w:rPr>
          <w:rFonts w:hint="eastAsia"/>
          <w:sz w:val="18"/>
          <w:lang w:val="en-US" w:eastAsia="zh-CN"/>
        </w:rPr>
        <w:t>20</w:t>
      </w:r>
      <w:r>
        <w:rPr>
          <w:sz w:val="18"/>
        </w:rPr>
        <w:t>-202</w:t>
      </w:r>
      <w:r>
        <w:rPr>
          <w:rFonts w:hint="eastAsia"/>
          <w:sz w:val="18"/>
          <w:lang w:val="en-US" w:eastAsia="zh-CN"/>
        </w:rPr>
        <w:t>1</w:t>
      </w:r>
      <w:r>
        <w:rPr>
          <w:sz w:val="18"/>
        </w:rPr>
        <w:t>学年数据。</w:t>
      </w:r>
    </w:p>
    <w:p>
      <w:pPr>
        <w:pStyle w:val="4"/>
        <w:spacing w:before="4"/>
        <w:rPr>
          <w:sz w:val="15"/>
        </w:rPr>
      </w:pPr>
    </w:p>
    <w:p>
      <w:pPr>
        <w:pStyle w:val="2"/>
        <w:spacing w:before="1"/>
        <w:rPr>
          <w:rFonts w:hint="eastAsia" w:ascii="楷体" w:eastAsia="楷体"/>
        </w:rPr>
      </w:pPr>
      <w:r>
        <w:rPr>
          <w:rFonts w:hint="eastAsia" w:ascii="楷体" w:eastAsia="楷体"/>
        </w:rPr>
        <w:t>2.专业负责人基本情况</w:t>
      </w:r>
    </w:p>
    <w:p>
      <w:pPr>
        <w:pStyle w:val="4"/>
        <w:spacing w:before="11"/>
        <w:rPr>
          <w:rFonts w:ascii="楷体"/>
          <w:sz w:val="11"/>
        </w:rPr>
      </w:pPr>
    </w:p>
    <w:tbl>
      <w:tblPr>
        <w:tblStyle w:val="7"/>
        <w:tblW w:w="8340" w:type="dxa"/>
        <w:tblInd w:w="125"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670"/>
        <w:gridCol w:w="998"/>
        <w:gridCol w:w="1298"/>
        <w:gridCol w:w="990"/>
        <w:gridCol w:w="1290"/>
        <w:gridCol w:w="1230"/>
        <w:gridCol w:w="540"/>
        <w:gridCol w:w="1324"/>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555" w:hRule="atLeast"/>
        </w:trPr>
        <w:tc>
          <w:tcPr>
            <w:tcW w:w="670" w:type="dxa"/>
            <w:vMerge w:val="restart"/>
            <w:vAlign w:val="center"/>
          </w:tcPr>
          <w:p>
            <w:pPr>
              <w:pStyle w:val="10"/>
              <w:jc w:val="both"/>
              <w:rPr>
                <w:sz w:val="24"/>
                <w:szCs w:val="24"/>
              </w:rPr>
            </w:pPr>
            <w:r>
              <w:rPr>
                <w:color w:val="333333"/>
                <w:sz w:val="24"/>
                <w:szCs w:val="24"/>
              </w:rPr>
              <w:t>姓名</w:t>
            </w:r>
          </w:p>
        </w:tc>
        <w:tc>
          <w:tcPr>
            <w:tcW w:w="998" w:type="dxa"/>
            <w:vMerge w:val="restart"/>
            <w:vAlign w:val="center"/>
          </w:tcPr>
          <w:p>
            <w:pPr>
              <w:pStyle w:val="10"/>
              <w:jc w:val="both"/>
              <w:rPr>
                <w:sz w:val="24"/>
                <w:szCs w:val="24"/>
              </w:rPr>
            </w:pPr>
          </w:p>
        </w:tc>
        <w:tc>
          <w:tcPr>
            <w:tcW w:w="1298" w:type="dxa"/>
            <w:vAlign w:val="center"/>
          </w:tcPr>
          <w:p>
            <w:pPr>
              <w:pStyle w:val="10"/>
              <w:spacing w:before="1"/>
              <w:jc w:val="center"/>
              <w:rPr>
                <w:sz w:val="24"/>
                <w:szCs w:val="24"/>
              </w:rPr>
            </w:pPr>
            <w:r>
              <w:rPr>
                <w:color w:val="333333"/>
                <w:sz w:val="24"/>
                <w:szCs w:val="24"/>
              </w:rPr>
              <w:t>性别</w:t>
            </w:r>
          </w:p>
        </w:tc>
        <w:tc>
          <w:tcPr>
            <w:tcW w:w="990" w:type="dxa"/>
            <w:vAlign w:val="center"/>
          </w:tcPr>
          <w:p>
            <w:pPr>
              <w:pStyle w:val="10"/>
              <w:spacing w:before="1"/>
              <w:jc w:val="center"/>
              <w:rPr>
                <w:sz w:val="24"/>
                <w:szCs w:val="24"/>
              </w:rPr>
            </w:pPr>
          </w:p>
        </w:tc>
        <w:tc>
          <w:tcPr>
            <w:tcW w:w="1290" w:type="dxa"/>
            <w:vAlign w:val="center"/>
          </w:tcPr>
          <w:p>
            <w:pPr>
              <w:pStyle w:val="10"/>
              <w:spacing w:before="1"/>
              <w:jc w:val="center"/>
              <w:rPr>
                <w:sz w:val="24"/>
                <w:szCs w:val="24"/>
              </w:rPr>
            </w:pPr>
            <w:r>
              <w:rPr>
                <w:color w:val="333333"/>
                <w:sz w:val="24"/>
                <w:szCs w:val="24"/>
              </w:rPr>
              <w:t>专业技术职务</w:t>
            </w:r>
          </w:p>
        </w:tc>
        <w:tc>
          <w:tcPr>
            <w:tcW w:w="1230" w:type="dxa"/>
            <w:vAlign w:val="center"/>
          </w:tcPr>
          <w:p>
            <w:pPr>
              <w:pStyle w:val="10"/>
              <w:spacing w:before="1"/>
              <w:jc w:val="center"/>
              <w:rPr>
                <w:sz w:val="24"/>
                <w:szCs w:val="24"/>
              </w:rPr>
            </w:pPr>
          </w:p>
        </w:tc>
        <w:tc>
          <w:tcPr>
            <w:tcW w:w="540" w:type="dxa"/>
            <w:vAlign w:val="center"/>
          </w:tcPr>
          <w:p>
            <w:pPr>
              <w:pStyle w:val="10"/>
              <w:spacing w:before="1"/>
              <w:jc w:val="center"/>
              <w:rPr>
                <w:sz w:val="24"/>
                <w:szCs w:val="24"/>
              </w:rPr>
            </w:pPr>
            <w:r>
              <w:rPr>
                <w:color w:val="333333"/>
                <w:sz w:val="24"/>
                <w:szCs w:val="24"/>
              </w:rPr>
              <w:t>学历</w:t>
            </w:r>
          </w:p>
        </w:tc>
        <w:tc>
          <w:tcPr>
            <w:tcW w:w="1324" w:type="dxa"/>
            <w:vAlign w:val="center"/>
          </w:tcPr>
          <w:p>
            <w:pPr>
              <w:pStyle w:val="10"/>
              <w:spacing w:before="1"/>
              <w:jc w:val="center"/>
              <w:rPr>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450" w:hRule="atLeast"/>
        </w:trPr>
        <w:tc>
          <w:tcPr>
            <w:tcW w:w="670" w:type="dxa"/>
            <w:vMerge w:val="continue"/>
            <w:tcBorders>
              <w:top w:val="nil"/>
            </w:tcBorders>
            <w:vAlign w:val="center"/>
          </w:tcPr>
          <w:p>
            <w:pPr>
              <w:jc w:val="center"/>
              <w:rPr>
                <w:sz w:val="24"/>
                <w:szCs w:val="24"/>
              </w:rPr>
            </w:pPr>
          </w:p>
        </w:tc>
        <w:tc>
          <w:tcPr>
            <w:tcW w:w="998" w:type="dxa"/>
            <w:vMerge w:val="continue"/>
            <w:tcBorders>
              <w:top w:val="nil"/>
            </w:tcBorders>
            <w:vAlign w:val="center"/>
          </w:tcPr>
          <w:p>
            <w:pPr>
              <w:jc w:val="center"/>
              <w:rPr>
                <w:sz w:val="24"/>
                <w:szCs w:val="24"/>
              </w:rPr>
            </w:pPr>
          </w:p>
        </w:tc>
        <w:tc>
          <w:tcPr>
            <w:tcW w:w="1298"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57" w:line="300" w:lineRule="exact"/>
              <w:ind w:left="130" w:right="266"/>
              <w:jc w:val="both"/>
              <w:textAlignment w:val="auto"/>
              <w:outlineLvl w:val="9"/>
              <w:rPr>
                <w:sz w:val="24"/>
                <w:szCs w:val="24"/>
              </w:rPr>
            </w:pPr>
            <w:r>
              <w:rPr>
                <w:color w:val="333333"/>
                <w:sz w:val="24"/>
                <w:szCs w:val="24"/>
              </w:rPr>
              <w:t>出生</w:t>
            </w:r>
            <w:r>
              <w:rPr>
                <w:rFonts w:hint="eastAsia"/>
                <w:color w:val="333333"/>
                <w:sz w:val="24"/>
                <w:szCs w:val="24"/>
                <w:lang w:eastAsia="zh-CN"/>
              </w:rPr>
              <w:t>年</w:t>
            </w:r>
            <w:r>
              <w:rPr>
                <w:color w:val="333333"/>
                <w:sz w:val="24"/>
                <w:szCs w:val="24"/>
              </w:rPr>
              <w:t>月</w:t>
            </w:r>
          </w:p>
        </w:tc>
        <w:tc>
          <w:tcPr>
            <w:tcW w:w="990" w:type="dxa"/>
            <w:vAlign w:val="center"/>
          </w:tcPr>
          <w:p>
            <w:pPr>
              <w:pStyle w:val="10"/>
              <w:spacing w:before="40"/>
              <w:ind w:left="128"/>
              <w:jc w:val="center"/>
              <w:rPr>
                <w:rFonts w:ascii="Arial"/>
                <w:sz w:val="24"/>
                <w:szCs w:val="24"/>
              </w:rPr>
            </w:pPr>
          </w:p>
        </w:tc>
        <w:tc>
          <w:tcPr>
            <w:tcW w:w="1290" w:type="dxa"/>
            <w:vAlign w:val="center"/>
          </w:tcPr>
          <w:p>
            <w:pPr>
              <w:pStyle w:val="10"/>
              <w:jc w:val="both"/>
              <w:rPr>
                <w:sz w:val="24"/>
                <w:szCs w:val="24"/>
              </w:rPr>
            </w:pPr>
            <w:r>
              <w:rPr>
                <w:color w:val="333333"/>
                <w:sz w:val="24"/>
                <w:szCs w:val="24"/>
              </w:rPr>
              <w:t>行政职务</w:t>
            </w:r>
          </w:p>
        </w:tc>
        <w:tc>
          <w:tcPr>
            <w:tcW w:w="1230" w:type="dxa"/>
            <w:vAlign w:val="center"/>
          </w:tcPr>
          <w:p>
            <w:pPr>
              <w:pStyle w:val="10"/>
              <w:spacing w:before="157" w:line="268" w:lineRule="auto"/>
              <w:ind w:left="130" w:right="306"/>
              <w:jc w:val="center"/>
              <w:rPr>
                <w:sz w:val="24"/>
                <w:szCs w:val="24"/>
              </w:rPr>
            </w:pPr>
          </w:p>
        </w:tc>
        <w:tc>
          <w:tcPr>
            <w:tcW w:w="540" w:type="dxa"/>
            <w:vAlign w:val="center"/>
          </w:tcPr>
          <w:p>
            <w:pPr>
              <w:pStyle w:val="10"/>
              <w:jc w:val="both"/>
              <w:rPr>
                <w:sz w:val="24"/>
                <w:szCs w:val="24"/>
              </w:rPr>
            </w:pPr>
            <w:r>
              <w:rPr>
                <w:color w:val="333333"/>
                <w:sz w:val="24"/>
                <w:szCs w:val="24"/>
              </w:rPr>
              <w:t>学位</w:t>
            </w:r>
          </w:p>
        </w:tc>
        <w:tc>
          <w:tcPr>
            <w:tcW w:w="1324" w:type="dxa"/>
            <w:vAlign w:val="center"/>
          </w:tcPr>
          <w:p>
            <w:pPr>
              <w:pStyle w:val="10"/>
              <w:jc w:val="both"/>
              <w:rPr>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2783" w:hRule="atLeast"/>
        </w:trPr>
        <w:tc>
          <w:tcPr>
            <w:tcW w:w="1668" w:type="dxa"/>
            <w:gridSpan w:val="2"/>
            <w:vAlign w:val="center"/>
          </w:tcPr>
          <w:p>
            <w:pPr>
              <w:pStyle w:val="10"/>
              <w:spacing w:before="50" w:line="268" w:lineRule="auto"/>
              <w:ind w:left="187" w:right="203"/>
              <w:jc w:val="center"/>
              <w:rPr>
                <w:sz w:val="24"/>
                <w:szCs w:val="24"/>
              </w:rPr>
            </w:pPr>
            <w:r>
              <w:rPr>
                <w:color w:val="333333"/>
                <w:sz w:val="24"/>
                <w:szCs w:val="24"/>
              </w:rPr>
              <w:t>研究方向和近三年主讲的本科课程</w:t>
            </w:r>
          </w:p>
        </w:tc>
        <w:tc>
          <w:tcPr>
            <w:tcW w:w="6672" w:type="dxa"/>
            <w:gridSpan w:val="6"/>
          </w:tcPr>
          <w:p>
            <w:pPr>
              <w:pStyle w:val="10"/>
              <w:spacing w:before="11"/>
              <w:rPr>
                <w:rFonts w:ascii="楷体"/>
                <w:sz w:val="24"/>
                <w:szCs w:val="24"/>
              </w:rPr>
            </w:pPr>
          </w:p>
          <w:p>
            <w:pPr>
              <w:pStyle w:val="10"/>
              <w:rPr>
                <w:sz w:val="24"/>
                <w:szCs w:val="24"/>
              </w:rPr>
            </w:pPr>
          </w:p>
        </w:tc>
      </w:tr>
    </w:tbl>
    <w:p>
      <w:pPr>
        <w:spacing w:after="0"/>
        <w:rPr>
          <w:sz w:val="24"/>
        </w:rPr>
      </w:pPr>
    </w:p>
    <w:p>
      <w:pPr>
        <w:spacing w:before="58"/>
        <w:ind w:left="110" w:right="0" w:firstLine="0"/>
        <w:jc w:val="left"/>
        <w:rPr>
          <w:rFonts w:hint="eastAsia" w:ascii="楷体" w:eastAsia="楷体"/>
          <w:sz w:val="30"/>
        </w:rPr>
      </w:pPr>
      <w:r>
        <mc:AlternateContent>
          <mc:Choice Requires="wps">
            <w:drawing>
              <wp:anchor distT="0" distB="0" distL="114300" distR="114300" simplePos="0" relativeHeight="251681792" behindDoc="0" locked="0" layoutInCell="1" allowOverlap="1">
                <wp:simplePos x="0" y="0"/>
                <wp:positionH relativeFrom="page">
                  <wp:posOffset>1128395</wp:posOffset>
                </wp:positionH>
                <wp:positionV relativeFrom="paragraph">
                  <wp:posOffset>-1994535</wp:posOffset>
                </wp:positionV>
                <wp:extent cx="0" cy="1902460"/>
                <wp:effectExtent l="4445" t="0" r="14605" b="2540"/>
                <wp:wrapNone/>
                <wp:docPr id="19" name="直线 10"/>
                <wp:cNvGraphicFramePr/>
                <a:graphic xmlns:a="http://schemas.openxmlformats.org/drawingml/2006/main">
                  <a:graphicData uri="http://schemas.microsoft.com/office/word/2010/wordprocessingShape">
                    <wps:wsp>
                      <wps:cNvCnPr/>
                      <wps:spPr>
                        <a:xfrm>
                          <a:off x="0" y="0"/>
                          <a:ext cx="0" cy="1902460"/>
                        </a:xfrm>
                        <a:prstGeom prst="line">
                          <a:avLst/>
                        </a:prstGeom>
                        <a:ln w="9525" cap="flat" cmpd="sng">
                          <a:solidFill>
                            <a:srgbClr val="666666"/>
                          </a:solidFill>
                          <a:prstDash val="solid"/>
                          <a:headEnd type="none" w="med" len="med"/>
                          <a:tailEnd type="none" w="med" len="med"/>
                        </a:ln>
                      </wps:spPr>
                      <wps:bodyPr upright="1"/>
                    </wps:wsp>
                  </a:graphicData>
                </a:graphic>
              </wp:anchor>
            </w:drawing>
          </mc:Choice>
          <mc:Fallback>
            <w:pict>
              <v:line id="直线 10" o:spid="_x0000_s1026" o:spt="20" style="position:absolute;left:0pt;margin-left:88.85pt;margin-top:-157.05pt;height:149.8pt;width:0pt;mso-position-horizontal-relative:page;z-index:251681792;mso-width-relative:page;mso-height-relative:page;" filled="f" stroked="t" coordsize="21600,21600" o:gfxdata="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rzsz2gAAAAwBAAAPAAAAAAAAAAEAIAAAACIA&#10;AABkcnMvZG93bnJldi54bWxQSwECFAAUAAAACACHTuJAb75BL84BAACPAwAADgAAAAAAAAABACAA&#10;AAApAQAAZHJzL2Uyb0RvYy54bWxQSwUGAAAAAAYABgBZAQAAaQUAAAAA&#10;">
                <v:fill on="f" focussize="0,0"/>
                <v:stroke color="#666666" joinstyle="round"/>
                <v:imagedata o:title=""/>
                <o:lock v:ext="edit" aspectratio="f"/>
              </v:line>
            </w:pict>
          </mc:Fallback>
        </mc:AlternateContent>
      </w:r>
      <w:r>
        <w:rPr>
          <w:rFonts w:hint="eastAsia" w:ascii="楷体" w:eastAsia="楷体"/>
          <w:sz w:val="30"/>
        </w:rPr>
        <w:t>3.近3年本专业毕业生就业（升学）情况</w:t>
      </w:r>
    </w:p>
    <w:p>
      <w:pPr>
        <w:pStyle w:val="4"/>
        <w:spacing w:before="11"/>
        <w:rPr>
          <w:rFonts w:ascii="楷体"/>
          <w:sz w:val="11"/>
        </w:rPr>
      </w:pPr>
    </w:p>
    <w:tbl>
      <w:tblPr>
        <w:tblStyle w:val="7"/>
        <w:tblW w:w="8345" w:type="dxa"/>
        <w:tblInd w:w="125"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51"/>
        <w:gridCol w:w="1419"/>
        <w:gridCol w:w="1669"/>
        <w:gridCol w:w="1669"/>
        <w:gridCol w:w="1168"/>
        <w:gridCol w:w="166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615" w:hRule="atLeast"/>
        </w:trPr>
        <w:tc>
          <w:tcPr>
            <w:tcW w:w="751" w:type="dxa"/>
            <w:vAlign w:val="center"/>
          </w:tcPr>
          <w:p>
            <w:pPr>
              <w:pStyle w:val="10"/>
              <w:ind w:left="127"/>
              <w:jc w:val="center"/>
              <w:rPr>
                <w:sz w:val="24"/>
                <w:szCs w:val="24"/>
              </w:rPr>
            </w:pPr>
            <w:r>
              <w:rPr>
                <w:color w:val="333333"/>
                <w:sz w:val="24"/>
                <w:szCs w:val="24"/>
              </w:rPr>
              <w:t>年份</w:t>
            </w:r>
          </w:p>
        </w:tc>
        <w:tc>
          <w:tcPr>
            <w:tcW w:w="1419" w:type="dxa"/>
            <w:vAlign w:val="center"/>
          </w:tcPr>
          <w:p>
            <w:pPr>
              <w:pStyle w:val="10"/>
              <w:jc w:val="center"/>
              <w:rPr>
                <w:sz w:val="24"/>
                <w:szCs w:val="24"/>
              </w:rPr>
            </w:pPr>
            <w:r>
              <w:rPr>
                <w:color w:val="333333"/>
                <w:sz w:val="24"/>
                <w:szCs w:val="24"/>
              </w:rPr>
              <w:t>毕业生人数</w:t>
            </w:r>
          </w:p>
        </w:tc>
        <w:tc>
          <w:tcPr>
            <w:tcW w:w="1669" w:type="dxa"/>
            <w:vAlign w:val="center"/>
          </w:tcPr>
          <w:p>
            <w:pPr>
              <w:pStyle w:val="10"/>
              <w:jc w:val="center"/>
              <w:rPr>
                <w:sz w:val="24"/>
                <w:szCs w:val="24"/>
              </w:rPr>
            </w:pPr>
            <w:r>
              <w:rPr>
                <w:color w:val="333333"/>
                <w:sz w:val="24"/>
                <w:szCs w:val="24"/>
              </w:rPr>
              <w:t>境内升学人数</w:t>
            </w:r>
          </w:p>
        </w:tc>
        <w:tc>
          <w:tcPr>
            <w:tcW w:w="1669" w:type="dxa"/>
            <w:vAlign w:val="center"/>
          </w:tcPr>
          <w:p>
            <w:pPr>
              <w:pStyle w:val="10"/>
              <w:jc w:val="center"/>
              <w:rPr>
                <w:sz w:val="24"/>
                <w:szCs w:val="24"/>
              </w:rPr>
            </w:pPr>
            <w:r>
              <w:rPr>
                <w:color w:val="333333"/>
                <w:sz w:val="24"/>
                <w:szCs w:val="24"/>
              </w:rPr>
              <w:t>境外升学人数</w:t>
            </w:r>
          </w:p>
        </w:tc>
        <w:tc>
          <w:tcPr>
            <w:tcW w:w="1168" w:type="dxa"/>
            <w:vAlign w:val="center"/>
          </w:tcPr>
          <w:p>
            <w:pPr>
              <w:pStyle w:val="10"/>
              <w:jc w:val="center"/>
              <w:rPr>
                <w:sz w:val="24"/>
                <w:szCs w:val="24"/>
              </w:rPr>
            </w:pPr>
            <w:r>
              <w:rPr>
                <w:color w:val="333333"/>
                <w:sz w:val="24"/>
                <w:szCs w:val="24"/>
              </w:rPr>
              <w:t>就业人数</w:t>
            </w:r>
          </w:p>
        </w:tc>
        <w:tc>
          <w:tcPr>
            <w:tcW w:w="1669" w:type="dxa"/>
            <w:vAlign w:val="center"/>
          </w:tcPr>
          <w:p>
            <w:pPr>
              <w:pStyle w:val="10"/>
              <w:jc w:val="center"/>
              <w:rPr>
                <w:sz w:val="24"/>
                <w:szCs w:val="24"/>
              </w:rPr>
            </w:pPr>
            <w:r>
              <w:rPr>
                <w:color w:val="333333"/>
                <w:sz w:val="24"/>
                <w:szCs w:val="24"/>
              </w:rPr>
              <w:t>自主创业人数</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615" w:hRule="atLeast"/>
        </w:trPr>
        <w:tc>
          <w:tcPr>
            <w:tcW w:w="751" w:type="dxa"/>
            <w:vAlign w:val="center"/>
          </w:tcPr>
          <w:p>
            <w:pPr>
              <w:pStyle w:val="10"/>
              <w:ind w:left="127"/>
              <w:jc w:val="center"/>
              <w:rPr>
                <w:color w:val="333333"/>
                <w:sz w:val="24"/>
                <w:szCs w:val="24"/>
              </w:rPr>
            </w:pPr>
          </w:p>
        </w:tc>
        <w:tc>
          <w:tcPr>
            <w:tcW w:w="141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168"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615" w:hRule="atLeast"/>
        </w:trPr>
        <w:tc>
          <w:tcPr>
            <w:tcW w:w="751" w:type="dxa"/>
            <w:vAlign w:val="center"/>
          </w:tcPr>
          <w:p>
            <w:pPr>
              <w:pStyle w:val="10"/>
              <w:ind w:left="127"/>
              <w:jc w:val="center"/>
              <w:rPr>
                <w:color w:val="333333"/>
                <w:sz w:val="24"/>
                <w:szCs w:val="24"/>
              </w:rPr>
            </w:pPr>
          </w:p>
        </w:tc>
        <w:tc>
          <w:tcPr>
            <w:tcW w:w="141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168"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Ex>
        <w:trPr>
          <w:trHeight w:val="615" w:hRule="atLeast"/>
        </w:trPr>
        <w:tc>
          <w:tcPr>
            <w:tcW w:w="751" w:type="dxa"/>
            <w:vAlign w:val="center"/>
          </w:tcPr>
          <w:p>
            <w:pPr>
              <w:pStyle w:val="10"/>
              <w:ind w:left="127"/>
              <w:jc w:val="center"/>
              <w:rPr>
                <w:color w:val="333333"/>
                <w:sz w:val="24"/>
                <w:szCs w:val="24"/>
              </w:rPr>
            </w:pPr>
          </w:p>
        </w:tc>
        <w:tc>
          <w:tcPr>
            <w:tcW w:w="141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c>
          <w:tcPr>
            <w:tcW w:w="1168" w:type="dxa"/>
            <w:vAlign w:val="center"/>
          </w:tcPr>
          <w:p>
            <w:pPr>
              <w:pStyle w:val="10"/>
              <w:ind w:left="127"/>
              <w:jc w:val="center"/>
              <w:rPr>
                <w:color w:val="333333"/>
                <w:sz w:val="24"/>
                <w:szCs w:val="24"/>
              </w:rPr>
            </w:pPr>
          </w:p>
        </w:tc>
        <w:tc>
          <w:tcPr>
            <w:tcW w:w="1669" w:type="dxa"/>
            <w:vAlign w:val="center"/>
          </w:tcPr>
          <w:p>
            <w:pPr>
              <w:pStyle w:val="10"/>
              <w:ind w:left="127"/>
              <w:jc w:val="center"/>
              <w:rPr>
                <w:color w:val="333333"/>
                <w:sz w:val="24"/>
                <w:szCs w:val="24"/>
              </w:rPr>
            </w:pPr>
          </w:p>
        </w:tc>
      </w:tr>
    </w:tbl>
    <w:p>
      <w:pPr>
        <w:spacing w:after="0"/>
        <w:rPr>
          <w:sz w:val="24"/>
        </w:rPr>
      </w:pPr>
    </w:p>
    <w:p>
      <w:pPr>
        <w:spacing w:after="0"/>
        <w:rPr>
          <w:sz w:val="24"/>
        </w:rPr>
      </w:pPr>
    </w:p>
    <w:p>
      <w:pPr>
        <w:spacing w:after="0"/>
        <w:rPr>
          <w:sz w:val="24"/>
        </w:rPr>
      </w:pPr>
    </w:p>
    <w:p>
      <w:pPr>
        <w:spacing w:after="0"/>
        <w:rPr>
          <w:sz w:val="24"/>
        </w:rPr>
        <w:sectPr>
          <w:pgSz w:w="11900" w:h="16840"/>
          <w:pgMar w:top="1600" w:right="1340" w:bottom="280" w:left="1660" w:header="720" w:footer="720" w:gutter="0"/>
        </w:sectPr>
      </w:pPr>
    </w:p>
    <w:p>
      <w:pPr>
        <w:pStyle w:val="4"/>
        <w:spacing w:before="11"/>
        <w:rPr>
          <w:rFonts w:ascii="楷体"/>
          <w:sz w:val="8"/>
        </w:rPr>
      </w:pPr>
    </w:p>
    <w:p>
      <w:pPr>
        <w:spacing w:before="195"/>
        <w:ind w:left="110" w:right="0" w:firstLine="0"/>
        <w:jc w:val="left"/>
        <w:rPr>
          <w:rFonts w:hint="eastAsia" w:ascii="楷体" w:eastAsia="楷体"/>
          <w:sz w:val="30"/>
        </w:rPr>
      </w:pPr>
      <w:r>
        <w:rPr>
          <w:rFonts w:hint="eastAsia" w:ascii="楷体" w:eastAsia="楷体"/>
          <w:sz w:val="30"/>
        </w:rPr>
        <w:t>4.近3年本专业获省部级及以上奖励和支持情况</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spacing w:before="75" w:line="268" w:lineRule="auto"/>
        <w:ind w:left="110" w:right="509" w:firstLine="0"/>
        <w:jc w:val="left"/>
        <w:rPr>
          <w:sz w:val="18"/>
        </w:rPr>
      </w:pPr>
      <w:r>
        <w:rPr>
          <w:sz w:val="18"/>
        </w:rPr>
        <w:t>注：1.专业建设指本专业获得省部级特色专业、品牌专业、一流专业等建设项目支持情况。2.其他指本专业教师和学生获得的省部级及以上教育教学奖励和支持情况。</w:t>
      </w:r>
    </w:p>
    <w:p>
      <w:pPr>
        <w:spacing w:after="0"/>
        <w:rPr>
          <w:rFonts w:ascii="Times New Roman"/>
          <w:sz w:val="22"/>
        </w:rPr>
      </w:pPr>
    </w:p>
    <w:p>
      <w:pPr>
        <w:spacing w:after="0"/>
        <w:rPr>
          <w:rFonts w:ascii="Times New Roman"/>
          <w:sz w:val="22"/>
        </w:rPr>
      </w:pPr>
    </w:p>
    <w:p>
      <w:pPr>
        <w:spacing w:after="0"/>
        <w:rPr>
          <w:rFonts w:ascii="Times New Roman"/>
          <w:sz w:val="22"/>
        </w:rPr>
        <w:sectPr>
          <w:pgSz w:w="11900" w:h="16840"/>
          <w:pgMar w:top="1600" w:right="1340" w:bottom="280" w:left="1660" w:header="720" w:footer="720" w:gutter="0"/>
        </w:sectPr>
      </w:pPr>
    </w:p>
    <w:p>
      <w:pPr>
        <w:pStyle w:val="4"/>
        <w:spacing w:before="3"/>
        <w:rPr>
          <w:sz w:val="13"/>
        </w:rPr>
      </w:pPr>
    </w:p>
    <w:p>
      <w:pPr>
        <w:pStyle w:val="2"/>
        <w:spacing w:before="0"/>
        <w:rPr>
          <w:rFonts w:hint="eastAsia" w:ascii="楷体" w:eastAsia="楷体"/>
        </w:rPr>
      </w:pPr>
      <w:r>
        <w:rPr>
          <w:rFonts w:hint="eastAsia" w:ascii="楷体" w:eastAsia="楷体"/>
        </w:rPr>
        <w:t>5.专业定位、历史沿革和特色优势</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pStyle w:val="4"/>
        <w:spacing w:before="10"/>
        <w:rPr>
          <w:rFonts w:ascii="楷体"/>
          <w:sz w:val="8"/>
        </w:rPr>
      </w:pPr>
    </w:p>
    <w:p>
      <w:pPr>
        <w:pStyle w:val="4"/>
        <w:spacing w:before="10"/>
        <w:rPr>
          <w:rFonts w:ascii="楷体"/>
          <w:sz w:val="8"/>
        </w:rPr>
      </w:pPr>
    </w:p>
    <w:p>
      <w:pPr>
        <w:pStyle w:val="4"/>
        <w:spacing w:before="10"/>
        <w:rPr>
          <w:rFonts w:ascii="楷体"/>
          <w:sz w:val="8"/>
        </w:rPr>
      </w:pPr>
    </w:p>
    <w:p>
      <w:pPr>
        <w:spacing w:after="0"/>
        <w:rPr>
          <w:rFonts w:ascii="楷体"/>
          <w:sz w:val="8"/>
        </w:rPr>
        <w:sectPr>
          <w:pgSz w:w="11900" w:h="16840"/>
          <w:pgMar w:top="1600" w:right="1340" w:bottom="280" w:left="1660" w:header="720" w:footer="720" w:gutter="0"/>
        </w:sectPr>
      </w:pPr>
    </w:p>
    <w:p>
      <w:pPr>
        <w:pStyle w:val="4"/>
        <w:spacing w:before="7"/>
        <w:rPr>
          <w:sz w:val="9"/>
        </w:rPr>
      </w:pPr>
    </w:p>
    <w:p>
      <w:pPr>
        <w:widowControl/>
        <w:jc w:val="left"/>
        <w:rPr>
          <w:rFonts w:ascii="楷体" w:hAnsi="楷体" w:eastAsia="楷体" w:cs="宋体"/>
          <w:b/>
          <w:kern w:val="0"/>
          <w:sz w:val="32"/>
          <w:szCs w:val="32"/>
        </w:rPr>
      </w:pP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spacing w:before="58"/>
        <w:ind w:left="110" w:right="0" w:firstLine="0"/>
        <w:jc w:val="left"/>
        <w:rPr>
          <w:rFonts w:hint="eastAsia" w:ascii="楷体" w:eastAsia="楷体"/>
          <w:sz w:val="30"/>
        </w:rPr>
      </w:pPr>
    </w:p>
    <w:p>
      <w:pPr>
        <w:spacing w:after="0"/>
        <w:jc w:val="left"/>
        <w:rPr>
          <w:rFonts w:hint="eastAsia" w:ascii="楷体" w:eastAsia="楷体"/>
          <w:sz w:val="30"/>
        </w:rPr>
        <w:sectPr>
          <w:pgSz w:w="11900" w:h="16840"/>
          <w:pgMar w:top="1600" w:right="1340" w:bottom="280" w:left="1660" w:header="720" w:footer="720" w:gutter="0"/>
        </w:sectPr>
      </w:pPr>
    </w:p>
    <w:p>
      <w:pPr>
        <w:rPr>
          <w:rFonts w:ascii="黑体" w:hAnsi="黑体" w:eastAsia="黑体" w:cs="Times New Roman"/>
          <w:sz w:val="36"/>
          <w:szCs w:val="36"/>
        </w:rPr>
      </w:pP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lang w:eastAsia="zh-CN"/>
        </w:rPr>
        <w:t>三</w:t>
      </w:r>
      <w:r>
        <w:rPr>
          <w:rFonts w:hint="eastAsia" w:ascii="黑体" w:hAnsi="黑体" w:eastAsia="黑体" w:cs="宋体"/>
          <w:b/>
          <w:kern w:val="0"/>
          <w:sz w:val="32"/>
          <w:szCs w:val="32"/>
        </w:rPr>
        <w:t>、</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pStyle w:val="4"/>
        <w:ind w:left="109"/>
        <w:rPr>
          <w:rFonts w:ascii="楷体"/>
          <w:sz w:val="20"/>
        </w:rPr>
      </w:pPr>
    </w:p>
    <w:p>
      <w:pPr>
        <w:pStyle w:val="4"/>
        <w:ind w:left="109"/>
        <w:rPr>
          <w:rFonts w:ascii="楷体"/>
          <w:sz w:val="20"/>
        </w:rPr>
      </w:pPr>
    </w:p>
    <w:p>
      <w:pPr>
        <w:pStyle w:val="4"/>
        <w:spacing w:before="5"/>
        <w:rPr>
          <w:rFonts w:ascii="楷体"/>
          <w:sz w:val="16"/>
        </w:rPr>
      </w:pPr>
    </w:p>
    <w:p>
      <w:pPr>
        <w:spacing w:after="0"/>
        <w:jc w:val="left"/>
        <w:rPr>
          <w:rFonts w:hint="eastAsia" w:ascii="黑体" w:eastAsia="黑体"/>
          <w:sz w:val="30"/>
        </w:rPr>
        <w:sectPr>
          <w:pgSz w:w="11900" w:h="16840"/>
          <w:pgMar w:top="1600" w:right="1340" w:bottom="280" w:left="1660" w:header="720" w:footer="720" w:gutter="0"/>
        </w:sectPr>
      </w:pPr>
    </w:p>
    <w:p>
      <w:pPr>
        <w:pStyle w:val="4"/>
        <w:spacing w:before="5"/>
        <w:rPr>
          <w:rFonts w:ascii="黑体"/>
          <w:sz w:val="16"/>
        </w:rPr>
      </w:pPr>
    </w:p>
    <w:p>
      <w:pPr>
        <w:spacing w:before="58"/>
        <w:ind w:left="110" w:right="0" w:firstLine="0"/>
        <w:jc w:val="left"/>
        <w:rPr>
          <w:rFonts w:hint="eastAsia" w:ascii="黑体" w:eastAsia="黑体"/>
          <w:sz w:val="30"/>
        </w:rPr>
      </w:pPr>
      <w:r>
        <w:rPr>
          <w:rFonts w:hint="eastAsia" w:ascii="黑体" w:eastAsia="黑体"/>
          <w:sz w:val="30"/>
        </w:rPr>
        <w:t>四、本专业人才培养方案</w:t>
      </w: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after="0"/>
        <w:jc w:val="left"/>
        <w:rPr>
          <w:rFonts w:hint="eastAsia" w:ascii="黑体" w:eastAsia="黑体"/>
          <w:sz w:val="30"/>
        </w:rPr>
      </w:pPr>
    </w:p>
    <w:p>
      <w:pPr>
        <w:spacing w:before="0"/>
        <w:ind w:left="0" w:right="1" w:firstLine="0"/>
        <w:jc w:val="both"/>
        <w:rPr>
          <w:rFonts w:ascii="Calibri"/>
          <w:sz w:val="18"/>
        </w:rPr>
      </w:pPr>
    </w:p>
    <w:sectPr>
      <w:pgSz w:w="11910" w:h="16840"/>
      <w:pgMar w:top="158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710" w:hanging="450"/>
        <w:jc w:val="left"/>
      </w:pPr>
      <w:rPr>
        <w:rFonts w:hint="default" w:ascii="仿宋" w:hAnsi="仿宋" w:eastAsia="仿宋" w:cs="仿宋"/>
        <w:w w:val="100"/>
        <w:sz w:val="30"/>
        <w:szCs w:val="30"/>
        <w:lang w:val="zh-CN" w:eastAsia="zh-CN" w:bidi="zh-CN"/>
      </w:rPr>
    </w:lvl>
    <w:lvl w:ilvl="1" w:tentative="0">
      <w:start w:val="1"/>
      <w:numFmt w:val="decimal"/>
      <w:lvlText w:val="（%2）"/>
      <w:lvlJc w:val="left"/>
      <w:pPr>
        <w:ind w:left="275" w:hanging="601"/>
        <w:jc w:val="left"/>
      </w:pPr>
      <w:rPr>
        <w:rFonts w:hint="default" w:ascii="仿宋" w:hAnsi="仿宋" w:eastAsia="仿宋" w:cs="仿宋"/>
        <w:spacing w:val="-19"/>
        <w:w w:val="100"/>
        <w:sz w:val="22"/>
        <w:szCs w:val="22"/>
        <w:lang w:val="zh-CN" w:eastAsia="zh-CN" w:bidi="zh-CN"/>
      </w:rPr>
    </w:lvl>
    <w:lvl w:ilvl="2" w:tentative="0">
      <w:start w:val="0"/>
      <w:numFmt w:val="bullet"/>
      <w:lvlText w:val="•"/>
      <w:lvlJc w:val="left"/>
      <w:pPr>
        <w:ind w:left="1628" w:hanging="601"/>
      </w:pPr>
      <w:rPr>
        <w:rFonts w:hint="default"/>
        <w:lang w:val="zh-CN" w:eastAsia="zh-CN" w:bidi="zh-CN"/>
      </w:rPr>
    </w:lvl>
    <w:lvl w:ilvl="3" w:tentative="0">
      <w:start w:val="0"/>
      <w:numFmt w:val="bullet"/>
      <w:lvlText w:val="•"/>
      <w:lvlJc w:val="left"/>
      <w:pPr>
        <w:ind w:left="2537" w:hanging="601"/>
      </w:pPr>
      <w:rPr>
        <w:rFonts w:hint="default"/>
        <w:lang w:val="zh-CN" w:eastAsia="zh-CN" w:bidi="zh-CN"/>
      </w:rPr>
    </w:lvl>
    <w:lvl w:ilvl="4" w:tentative="0">
      <w:start w:val="0"/>
      <w:numFmt w:val="bullet"/>
      <w:lvlText w:val="•"/>
      <w:lvlJc w:val="left"/>
      <w:pPr>
        <w:ind w:left="3446" w:hanging="601"/>
      </w:pPr>
      <w:rPr>
        <w:rFonts w:hint="default"/>
        <w:lang w:val="zh-CN" w:eastAsia="zh-CN" w:bidi="zh-CN"/>
      </w:rPr>
    </w:lvl>
    <w:lvl w:ilvl="5" w:tentative="0">
      <w:start w:val="0"/>
      <w:numFmt w:val="bullet"/>
      <w:lvlText w:val="•"/>
      <w:lvlJc w:val="left"/>
      <w:pPr>
        <w:ind w:left="4355" w:hanging="601"/>
      </w:pPr>
      <w:rPr>
        <w:rFonts w:hint="default"/>
        <w:lang w:val="zh-CN" w:eastAsia="zh-CN" w:bidi="zh-CN"/>
      </w:rPr>
    </w:lvl>
    <w:lvl w:ilvl="6" w:tentative="0">
      <w:start w:val="0"/>
      <w:numFmt w:val="bullet"/>
      <w:lvlText w:val="•"/>
      <w:lvlJc w:val="left"/>
      <w:pPr>
        <w:ind w:left="5264" w:hanging="601"/>
      </w:pPr>
      <w:rPr>
        <w:rFonts w:hint="default"/>
        <w:lang w:val="zh-CN" w:eastAsia="zh-CN" w:bidi="zh-CN"/>
      </w:rPr>
    </w:lvl>
    <w:lvl w:ilvl="7" w:tentative="0">
      <w:start w:val="0"/>
      <w:numFmt w:val="bullet"/>
      <w:lvlText w:val="•"/>
      <w:lvlJc w:val="left"/>
      <w:pPr>
        <w:ind w:left="6173" w:hanging="601"/>
      </w:pPr>
      <w:rPr>
        <w:rFonts w:hint="default"/>
        <w:lang w:val="zh-CN" w:eastAsia="zh-CN" w:bidi="zh-CN"/>
      </w:rPr>
    </w:lvl>
    <w:lvl w:ilvl="8" w:tentative="0">
      <w:start w:val="0"/>
      <w:numFmt w:val="bullet"/>
      <w:lvlText w:val="•"/>
      <w:lvlJc w:val="left"/>
      <w:pPr>
        <w:ind w:left="7082"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723AB"/>
    <w:rsid w:val="2EBF6D44"/>
    <w:rsid w:val="30C81B4C"/>
    <w:rsid w:val="31C603BD"/>
    <w:rsid w:val="34B974E7"/>
    <w:rsid w:val="3DD968F3"/>
    <w:rsid w:val="422243F6"/>
    <w:rsid w:val="498A5981"/>
    <w:rsid w:val="4BE3241B"/>
    <w:rsid w:val="4E9379AF"/>
    <w:rsid w:val="514A4278"/>
    <w:rsid w:val="646736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58"/>
      <w:ind w:left="110"/>
      <w:outlineLvl w:val="1"/>
    </w:pPr>
    <w:rPr>
      <w:rFonts w:ascii="仿宋" w:hAnsi="仿宋" w:eastAsia="仿宋" w:cs="仿宋"/>
      <w:sz w:val="30"/>
      <w:szCs w:val="30"/>
      <w:lang w:val="zh-CN" w:eastAsia="zh-CN" w:bidi="zh-CN"/>
    </w:rPr>
  </w:style>
  <w:style w:type="paragraph" w:styleId="3">
    <w:name w:val="heading 2"/>
    <w:basedOn w:val="1"/>
    <w:next w:val="1"/>
    <w:qFormat/>
    <w:uiPriority w:val="1"/>
    <w:pPr>
      <w:ind w:left="1326"/>
      <w:outlineLvl w:val="2"/>
    </w:pPr>
    <w:rPr>
      <w:rFonts w:ascii="宋体" w:hAnsi="宋体" w:eastAsia="宋体" w:cs="宋体"/>
      <w:b/>
      <w:bCs/>
      <w:sz w:val="28"/>
      <w:szCs w:val="28"/>
      <w:lang w:val="zh-CN" w:eastAsia="zh-CN" w:bidi="zh-CN"/>
    </w:rPr>
  </w:style>
  <w:style w:type="character" w:default="1" w:styleId="6">
    <w:name w:val="Default Paragraph Font"/>
    <w:semiHidden/>
    <w:unhideWhenUsed/>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788" w:firstLine="420"/>
    </w:pPr>
    <w:rPr>
      <w:rFonts w:ascii="宋体" w:hAnsi="宋体" w:eastAsia="宋体" w:cs="宋体"/>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2020-11-05T06:52:00Z</dcterms:created>
  <dc:creator>USER</dc:creator>
  <cp:lastModifiedBy>勇敢的心</cp:lastModifiedBy>
  <cp:lastPrinted>2021-10-29T02:22:49Z</cp:lastPrinted>
  <dcterms:modified xsi:type="dcterms:W3CDTF">2021-10-29T02:44:59Z</dcterms:modified>
  <dc:title>国家级一流本科专业建设点信息采集表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WPS 文字</vt:lpwstr>
  </property>
  <property fmtid="{D5CDD505-2E9C-101B-9397-08002B2CF9AE}" pid="4" name="LastSaved">
    <vt:filetime>2020-11-05T00:00:00Z</vt:filetime>
  </property>
  <property fmtid="{D5CDD505-2E9C-101B-9397-08002B2CF9AE}" pid="5" name="KSOProductBuildVer">
    <vt:lpwstr>2052-10.8.2.6784</vt:lpwstr>
  </property>
</Properties>
</file>