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723" w:firstLineChars="200"/>
        <w:jc w:val="center"/>
        <w:textAlignment w:val="auto"/>
        <w:outlineLvl w:val="9"/>
        <w:rPr>
          <w:rFonts w:hint="eastAsia" w:ascii="仿宋_GB2312" w:hAnsi="仿宋_GB2312" w:eastAsia="仿宋_GB2312" w:cs="仿宋_GB2312"/>
          <w:b/>
          <w:bCs/>
          <w:i w:val="0"/>
          <w:caps w:val="0"/>
          <w:color w:val="000000"/>
          <w:spacing w:val="0"/>
          <w:kern w:val="0"/>
          <w:sz w:val="36"/>
          <w:szCs w:val="36"/>
          <w:shd w:val="clear" w:color="auto" w:fill="auto"/>
          <w:lang w:val="en-US" w:eastAsia="zh-CN" w:bidi="ar"/>
        </w:rPr>
      </w:pPr>
      <w:r>
        <w:rPr>
          <w:rFonts w:hint="eastAsia" w:ascii="仿宋_GB2312" w:hAnsi="仿宋_GB2312" w:eastAsia="仿宋_GB2312" w:cs="仿宋_GB2312"/>
          <w:b/>
          <w:bCs/>
          <w:i w:val="0"/>
          <w:caps w:val="0"/>
          <w:color w:val="000000"/>
          <w:spacing w:val="0"/>
          <w:kern w:val="0"/>
          <w:sz w:val="36"/>
          <w:szCs w:val="36"/>
          <w:shd w:val="clear" w:color="auto" w:fill="auto"/>
          <w:lang w:val="en-US" w:eastAsia="zh-CN" w:bidi="ar"/>
        </w:rPr>
        <w:t>海南热带海洋学院</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469" w:afterLines="150" w:afterAutospacing="0" w:line="520" w:lineRule="exact"/>
        <w:ind w:left="0" w:leftChars="0" w:right="0" w:rightChars="0" w:firstLine="723" w:firstLineChars="200"/>
        <w:jc w:val="center"/>
        <w:textAlignment w:val="auto"/>
        <w:outlineLvl w:val="9"/>
        <w:rPr>
          <w:rFonts w:hint="eastAsia" w:ascii="仿宋_GB2312" w:hAnsi="仿宋_GB2312" w:eastAsia="仿宋_GB2312" w:cs="仿宋_GB2312"/>
          <w:b/>
          <w:bCs/>
          <w:i w:val="0"/>
          <w:caps w:val="0"/>
          <w:color w:val="000000"/>
          <w:spacing w:val="0"/>
          <w:kern w:val="0"/>
          <w:sz w:val="36"/>
          <w:szCs w:val="36"/>
          <w:shd w:val="clear" w:color="auto" w:fill="auto"/>
          <w:lang w:val="en-US" w:eastAsia="zh-CN" w:bidi="ar"/>
        </w:rPr>
      </w:pPr>
      <w:r>
        <w:rPr>
          <w:rFonts w:hint="eastAsia" w:ascii="仿宋_GB2312" w:hAnsi="仿宋_GB2312" w:eastAsia="仿宋_GB2312" w:cs="仿宋_GB2312"/>
          <w:b/>
          <w:bCs/>
          <w:i w:val="0"/>
          <w:caps w:val="0"/>
          <w:color w:val="000000"/>
          <w:spacing w:val="0"/>
          <w:kern w:val="0"/>
          <w:sz w:val="36"/>
          <w:szCs w:val="36"/>
          <w:shd w:val="clear" w:color="auto" w:fill="auto"/>
          <w:lang w:val="en-US" w:eastAsia="zh-CN" w:bidi="ar"/>
        </w:rPr>
        <w:t>2021年校级教育教学改革研究项目申报指南</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t>一、教研专项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t>（一）思政课程与课程思政专项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t>1.思政课程专项（马克思主义学院申报）</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t>2.“课程思政”教学改革项目研究，请各位教师立足我校课程思政工作实际，探索课程思政实施的方法、路径、机制、评价标准、问题及对策等主题，提出新思路、探索新方法，发掘新经验、发现新问题，</w:t>
      </w:r>
      <w:r>
        <w:rPr>
          <w:rFonts w:hint="default" w:ascii="仿宋_GB2312" w:hAnsi="仿宋_GB2312" w:eastAsia="仿宋_GB2312" w:cs="仿宋_GB2312"/>
          <w:b w:val="0"/>
          <w:i w:val="0"/>
          <w:caps w:val="0"/>
          <w:color w:val="000000"/>
          <w:spacing w:val="0"/>
          <w:kern w:val="0"/>
          <w:sz w:val="32"/>
          <w:szCs w:val="32"/>
          <w:shd w:val="clear" w:color="auto" w:fill="auto"/>
          <w:lang w:val="en-US" w:eastAsia="zh-CN" w:bidi="ar"/>
        </w:rPr>
        <w:t>以课程建设为主战场、以课堂教学为主渠道，不断深化育人内涵，将价值塑造、知识传授和能力培养三者融为一体，落实所有教师、所有课程育人责任。</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t>（二）体育教育专项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t>推进体育教学从以“教”为主向以“学”为主转变。围绕体育课程设置、课程形式、学分学时管理、教学内容、实施机制等方面进行改革，积极探索体育教育人才培养模式及新思路。</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t>（三）美育教育专项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t>以美育的理论及前沿问题、中外美育思想、美育与大学生人文素养提升路径、高校美育质量测度与实施对策、艺术发展及其美育功能问题、新媒介与当代美育形态问题、美育课程内容与教学方法、教学设计等方面展开研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t>（四）劳动教育专项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t>立足我校劳动教育工作实际，研究专业劳动伦理，探索专业劳动素质，探索完善专业劳育教学体系，钻研思政教育与劳动教育、专业教育与劳动教育、社会实践与劳动教育融合的渠道。探索劳动教育实施的方法、路径、机制、评价标准、问题及对策等主题，提出新思路、探索新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二、一般教研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（一）一般教育教学改革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围绕本科教育教学核心工作，开展课程建设、教学方式方法改革、教学团队建设、教师教学能力建设、教务服务与管理改革等项目建设，推动全校本科教育教学各项工作高质量建设与发展。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（二）课堂教学改革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firstLine="643" w:firstLineChars="200"/>
        <w:jc w:val="both"/>
        <w:textAlignment w:val="auto"/>
        <w:rPr>
          <w:rFonts w:hint="eastAsia" w:ascii="仿宋_GB2312" w:hAnsi="仿宋_GB2312" w:eastAsia="仿宋_GB2312" w:cs="仿宋_GB2312"/>
          <w:b/>
          <w:i w:val="0"/>
          <w:caps w:val="0"/>
          <w:color w:val="auto"/>
          <w:spacing w:val="0"/>
          <w:kern w:val="0"/>
          <w:sz w:val="32"/>
          <w:szCs w:val="32"/>
          <w:lang w:val="en-US" w:eastAsia="zh-CN" w:bidi="ar"/>
        </w:rPr>
      </w:pPr>
      <w:r>
        <w:rPr>
          <w:rFonts w:hint="eastAsia" w:ascii="仿宋_GB2312" w:hAnsi="仿宋_GB2312" w:eastAsia="仿宋_GB2312" w:cs="仿宋_GB2312"/>
          <w:b/>
          <w:i w:val="0"/>
          <w:caps w:val="0"/>
          <w:color w:val="auto"/>
          <w:spacing w:val="0"/>
          <w:kern w:val="0"/>
          <w:sz w:val="32"/>
          <w:szCs w:val="32"/>
          <w:lang w:val="en-US" w:eastAsia="zh-CN" w:bidi="ar"/>
        </w:rPr>
        <w:t>1.申报内容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依托在线开放课程优势，贯彻落实“以学生为中心”“以学为中心”“以发展需求为中心”的理念，因材施教、实施翻转课堂、混合式等研究型教学方法，将启发式、探究式教学理念引入课堂教学，完善课堂教学标准体系，加强教学过程考核，改革考试方法，打造智慧课堂，实现线上与线下教学相结合，教师引导与学生自主学习相结合，提高学生自主学习和研究学习的能力，强化创新思维培养，推荐以价值塑造、能力培养和知识传授为核心的“三位一体”课堂教学模式改革，加快课堂教学革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kern w:val="0"/>
          <w:sz w:val="32"/>
          <w:szCs w:val="32"/>
          <w:lang w:val="en-US" w:eastAsia="zh-CN" w:bidi="ar"/>
        </w:rPr>
        <w:t>2.申报要求</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课堂教学改革项目应围绕教学内容改革、教学及评价方法改进和教学效果提高，形式可多样，但一个项目的研究范围不宜过大。（2）研究人员可以是教学团队，也可以是教师个人，申报人承担一线本科课程教学任务。（3）项目设计依托我校自建在线开放课程，也可使用校外引进的在线开放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（三）</w:t>
      </w:r>
      <w:r>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t>外语水平教学改革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大学英语教学改革应该以实现学生英语综合能力提高为出发点，对考试模式与考试制度改革，提高学生英语听说写综合能力研究，教材建设改革，师资队伍建设等方面研究，以保证大学英语教学改革效果。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firstLine="643" w:firstLineChars="200"/>
        <w:jc w:val="both"/>
        <w:textAlignment w:val="auto"/>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auto"/>
          <w:lang w:val="en-US" w:eastAsia="zh-CN" w:bidi="ar"/>
        </w:rPr>
        <w:t>（四）基础教育教学改革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t>针对基础教育前沿开展的教育教学研究，围绕如何突出德育实效、提升智育水平、强化体育锻炼、增强美育熏陶、加强劳动教育等方面重点问题，强化学科整体育人功能，深入开展内容、策略、方法、机制研究；加强对课程、教学、作业和考试评价等育人关键环节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（五）精品在线开放课程建设项目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1.申报内容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依托学科综合优势与特色，开发建设从教学内容到教学方法、从教材建设到能力培养均具有高水平的精品在线开放课程，致力于培育一批海南省精品在线开放课程和一流本科课程“双万计划”，辐射带动全校课程建设信息化水平不断提高，为专业现代化建设提供支撑，切实提高教学水平和质量。具体包括：公共基础课程、通识教育核心课程、学科基础课程、专业教育课程、创新创业教育等特色品牌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（1）公共基础课程、学科基础课程、专业教育课程：重在将最前沿的学科知识、专业培养理念、科学研究精神以及最新的科研成果转化为系统化的教学资源，启迪学生的研究意识、学术兴趣和创新能力。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（2）通识教育核心课程：依托学科优势和特色，引导学生广泛涉猎不同学科领域，拓宽知识面，树立正确的世界观、价值观，掌握科学的方法论，提高综合素养，实现全面发展。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（3）创新创业教育课程：通过创新创业基础教学、案例教学、实践训练、孵化服务，重点培养学生的创新精神、创新意识和创新创业能力等基本素养。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（4）特色品牌课程：专业核心课程；课程思政类课程。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2.申报条件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课程申报人应为我校在职教师，</w:t>
      </w:r>
      <w:r>
        <w:rPr>
          <w:rFonts w:hint="eastAsia" w:ascii="仿宋_GB2312" w:hAnsi="仿宋_GB2312" w:eastAsia="仿宋_GB2312" w:cs="仿宋_GB2312"/>
          <w:b/>
          <w:bCs/>
          <w:i w:val="0"/>
          <w:caps w:val="0"/>
          <w:color w:val="C00000"/>
          <w:spacing w:val="0"/>
          <w:kern w:val="0"/>
          <w:sz w:val="32"/>
          <w:szCs w:val="32"/>
          <w:lang w:val="en-US" w:eastAsia="zh-CN" w:bidi="ar"/>
        </w:rPr>
        <w:t>具有副高以上职称</w:t>
      </w:r>
      <w:r>
        <w:rPr>
          <w:rFonts w:hint="eastAsia" w:ascii="仿宋_GB2312" w:hAnsi="仿宋_GB2312" w:eastAsia="仿宋_GB2312" w:cs="仿宋_GB2312"/>
          <w:i w:val="0"/>
          <w:caps w:val="0"/>
          <w:color w:val="auto"/>
          <w:spacing w:val="0"/>
          <w:kern w:val="0"/>
          <w:sz w:val="32"/>
          <w:szCs w:val="32"/>
          <w:lang w:val="en-US" w:eastAsia="zh-CN" w:bidi="ar"/>
        </w:rPr>
        <w:t>，承担一线本科课程教学任务。课程质量高，教学效果好，得到广大教师和同行专家的好评，在同类课程中具有一定的影响力和较强的示范性。课程建设团队应具有良好的合作精神，结构合理。鼓励跨校或跨学科专业通过协同创新和集成创新的方式建设在线开放课程。在各级各类课堂教学大赛中获奖的教师可优先推荐。</w:t>
      </w:r>
    </w:p>
    <w:p>
      <w:pPr>
        <w:keepNext w:val="0"/>
        <w:keepLines w:val="0"/>
        <w:pageBreakBefore w:val="0"/>
        <w:kinsoku/>
        <w:wordWrap/>
        <w:overflowPunct/>
        <w:topLinePunct w:val="0"/>
        <w:autoSpaceDE/>
        <w:autoSpaceDN/>
        <w:bidi w:val="0"/>
        <w:adjustRightInd/>
        <w:snapToGrid/>
        <w:spacing w:line="520" w:lineRule="exact"/>
        <w:jc w:val="both"/>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D098F"/>
    <w:rsid w:val="13F831C4"/>
    <w:rsid w:val="29DD24E2"/>
    <w:rsid w:val="2C6A3FBA"/>
    <w:rsid w:val="32082F93"/>
    <w:rsid w:val="324A52EA"/>
    <w:rsid w:val="393523B1"/>
    <w:rsid w:val="3D550A2C"/>
    <w:rsid w:val="47F15705"/>
    <w:rsid w:val="48B44D8F"/>
    <w:rsid w:val="4B3833E6"/>
    <w:rsid w:val="524C3C0B"/>
    <w:rsid w:val="56A13DC4"/>
    <w:rsid w:val="6BC37FDF"/>
    <w:rsid w:val="73854AAF"/>
    <w:rsid w:val="76382005"/>
    <w:rsid w:val="76E7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4">
    <w:name w:val="FollowedHyperlink"/>
    <w:basedOn w:val="3"/>
    <w:qFormat/>
    <w:uiPriority w:val="0"/>
    <w:rPr>
      <w:color w:val="333333"/>
      <w:sz w:val="18"/>
      <w:szCs w:val="18"/>
      <w:u w:val="none"/>
    </w:rPr>
  </w:style>
  <w:style w:type="character" w:styleId="5">
    <w:name w:val="Hyperlink"/>
    <w:basedOn w:val="3"/>
    <w:qFormat/>
    <w:uiPriority w:val="0"/>
    <w:rPr>
      <w:color w:val="333333"/>
      <w:sz w:val="18"/>
      <w:szCs w:val="18"/>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勇敢的心</cp:lastModifiedBy>
  <dcterms:modified xsi:type="dcterms:W3CDTF">2021-01-26T02:36:20Z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